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7" w:rsidRPr="00782251" w:rsidRDefault="00AA0517" w:rsidP="00782251">
      <w:pPr>
        <w:rPr>
          <w:rStyle w:val="Pogrubienie"/>
          <w:rFonts w:cstheme="minorHAnsi"/>
          <w:bCs w:val="0"/>
          <w:sz w:val="24"/>
          <w:szCs w:val="24"/>
        </w:rPr>
      </w:pPr>
      <w:bookmarkStart w:id="0" w:name="_GoBack"/>
      <w:bookmarkEnd w:id="0"/>
      <w:r w:rsidRPr="00BE7CEE">
        <w:rPr>
          <w:rFonts w:cstheme="minorHAnsi"/>
          <w:b/>
          <w:sz w:val="24"/>
          <w:szCs w:val="24"/>
        </w:rPr>
        <w:t>Działalność, finansowanie i plany na przyszłość Galerii Sztuki Współczesnej w Opolu</w:t>
      </w:r>
    </w:p>
    <w:p w:rsidR="00AA0517" w:rsidRPr="008667B7" w:rsidRDefault="00AA0517" w:rsidP="00AA0517">
      <w:pPr>
        <w:spacing w:after="0" w:line="240" w:lineRule="auto"/>
        <w:jc w:val="both"/>
        <w:rPr>
          <w:rStyle w:val="Pogrubienie"/>
          <w:rFonts w:cstheme="minorHAnsi"/>
        </w:rPr>
      </w:pPr>
      <w:r w:rsidRPr="008667B7">
        <w:rPr>
          <w:rStyle w:val="Pogrubienie"/>
          <w:rFonts w:cstheme="minorHAnsi"/>
        </w:rPr>
        <w:t>Działalność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  <w:b/>
        </w:rPr>
      </w:pPr>
      <w:r w:rsidRPr="008667B7">
        <w:rPr>
          <w:rStyle w:val="Pogrubienie"/>
          <w:rFonts w:cstheme="minorHAnsi"/>
          <w:b w:val="0"/>
        </w:rPr>
        <w:t xml:space="preserve">Galeria Sztuki Współczesnej (dalej: GSW) jest jedyną w województwie opolskim instytucją wyspecjalizowaną </w:t>
      </w:r>
      <w:r w:rsidRPr="008667B7">
        <w:rPr>
          <w:rFonts w:cstheme="minorHAnsi"/>
          <w:shd w:val="clear" w:color="auto" w:fill="FFFFFF"/>
        </w:rPr>
        <w:t xml:space="preserve"> w  prezentacji i upowszechnianiu współczesnych sztuk wizualnych. Działa na podstawie statutu nadanego uchwał</w:t>
      </w:r>
      <w:r w:rsidR="00C91220">
        <w:rPr>
          <w:rFonts w:cstheme="minorHAnsi"/>
          <w:shd w:val="clear" w:color="auto" w:fill="FFFFFF"/>
        </w:rPr>
        <w:t>ą</w:t>
      </w:r>
      <w:r w:rsidRPr="008667B7">
        <w:rPr>
          <w:rFonts w:cstheme="minorHAnsi"/>
          <w:shd w:val="clear" w:color="auto" w:fill="FFFFFF"/>
        </w:rPr>
        <w:t xml:space="preserve"> Rady Miasta z dn</w:t>
      </w:r>
      <w:r w:rsidR="00C91220">
        <w:rPr>
          <w:rFonts w:cstheme="minorHAnsi"/>
          <w:shd w:val="clear" w:color="auto" w:fill="FFFFFF"/>
        </w:rPr>
        <w:t>ia</w:t>
      </w:r>
      <w:r w:rsidRPr="008667B7">
        <w:rPr>
          <w:rFonts w:cstheme="minorHAnsi"/>
          <w:shd w:val="clear" w:color="auto" w:fill="FFFFFF"/>
        </w:rPr>
        <w:t xml:space="preserve"> 31</w:t>
      </w:r>
      <w:r w:rsidR="00C91220">
        <w:rPr>
          <w:rFonts w:cstheme="minorHAnsi"/>
          <w:shd w:val="clear" w:color="auto" w:fill="FFFFFF"/>
        </w:rPr>
        <w:t xml:space="preserve"> stycznia </w:t>
      </w:r>
      <w:r w:rsidRPr="008667B7">
        <w:rPr>
          <w:rFonts w:cstheme="minorHAnsi"/>
          <w:shd w:val="clear" w:color="auto" w:fill="FFFFFF"/>
        </w:rPr>
        <w:t>2013</w:t>
      </w:r>
      <w:r w:rsidR="00C91220">
        <w:rPr>
          <w:rFonts w:cstheme="minorHAnsi"/>
          <w:shd w:val="clear" w:color="auto" w:fill="FFFFFF"/>
        </w:rPr>
        <w:t xml:space="preserve"> r</w:t>
      </w:r>
      <w:r w:rsidRPr="008667B7">
        <w:rPr>
          <w:rFonts w:cstheme="minorHAnsi"/>
          <w:shd w:val="clear" w:color="auto" w:fill="FFFFFF"/>
        </w:rPr>
        <w:t>.</w:t>
      </w:r>
    </w:p>
    <w:p w:rsidR="00AA0517" w:rsidRPr="008667B7" w:rsidRDefault="00AA0517" w:rsidP="00AA0517">
      <w:pPr>
        <w:spacing w:after="0" w:line="240" w:lineRule="auto"/>
        <w:jc w:val="both"/>
        <w:rPr>
          <w:rStyle w:val="Pogrubienie"/>
          <w:rFonts w:cstheme="minorHAnsi"/>
          <w:b w:val="0"/>
        </w:rPr>
      </w:pP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8667B7">
        <w:rPr>
          <w:rStyle w:val="Pogrubienie"/>
          <w:rFonts w:cstheme="minorHAnsi"/>
          <w:b w:val="0"/>
        </w:rPr>
        <w:t xml:space="preserve">Tradycje placówki sięgają 1958 roku, GSW jest  bowiem  </w:t>
      </w:r>
      <w:r w:rsidRPr="008667B7">
        <w:rPr>
          <w:rFonts w:cstheme="minorHAnsi"/>
          <w:shd w:val="clear" w:color="auto" w:fill="FFFFFF"/>
        </w:rPr>
        <w:t>instytucją, która powstała na fundamentach Biura Wystaw Artystycznych. W  1958 roku powołano Opolski Oddział Centralnego Biura Wystaw Artystycznych w Warszawie (z kilkoma mniejszymi oddziałami w regionie), który od 1962 roku działał jako niezależna jednostka o nazwie Biuro Wystaw Artystycznych (BWA). Po przekształceniach ustrojowych, z końcem roku 1991 zlikwidowano opolskie Biuro Wystaw Artystycznych, a w jego miejsce powołano w 1992 roku Galerię Sztuki  Współczesnej w Opolu.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>Instytucja dysponuje dwoma budynkami: głównym w zespole połączonym z Teatrem Jana Kochanowskiego przy pl. Teatralnym 12 oraz budynkiem Centrum Edukacji Artystycznej Artpunkt przy ul. Kośnego 32 a. Zatrudnia aktualnie 18 osób, łącznie na 16,3 etatach.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8667B7">
        <w:rPr>
          <w:rFonts w:cstheme="minorHAnsi"/>
          <w:shd w:val="clear" w:color="auto" w:fill="FFFFFF"/>
        </w:rPr>
        <w:t>Działalność GSW, zgodnie ze statutem, zakłada: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>1) prowadzenie działalności wystawienniczej i wydawniczej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 xml:space="preserve">2) prowadzenie działalności edukacyjnej, promocyjnej i informacyjnej w zakresie współczesnej twórczości wizualnej 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 xml:space="preserve">3) organizowanie krajowej i międzynarodowej wymiany artystycznej oraz festiwali, koncertów, wykładów, warsztatów, konferencji, seminariów, kursów i programu filmowego 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>4) prowadzenie biblioteki oraz bazy danych dotyczących twórców i dzieł sztuki współczesnej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>5) współdziałanie ze środowiskami twórczymi oraz z polskimi i zagranicznymi podmiotami publicznymi i prywatnymi w zakresie rozwoju sztuki współczesnej.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>Merytoryczny program działalności GSW kształtowany jest przez zespół programowy pod kierownictwem dyrektorki GSW,  w styczniu 2023 r. na czteroletnią kadencję została powołana nowa Rada Programowa instytucji.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</w:p>
    <w:p w:rsidR="00BE7CEE" w:rsidRPr="00BE7CEE" w:rsidRDefault="00AA0517" w:rsidP="00BE7CEE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>Szczegółowy zakres działalności instytucji dobrze ilustruje skrótowy wyciąg ze sprawozdania za rok 2023</w:t>
      </w:r>
      <w:r w:rsidR="008667B7" w:rsidRPr="008667B7">
        <w:rPr>
          <w:rFonts w:cstheme="minorHAnsi"/>
        </w:rPr>
        <w:t>, za pierwsze półrocze 2024 r.</w:t>
      </w:r>
      <w:r w:rsidR="00BE7CEE">
        <w:rPr>
          <w:rFonts w:cstheme="minorHAnsi"/>
        </w:rPr>
        <w:t>,</w:t>
      </w:r>
      <w:r w:rsidR="008667B7" w:rsidRPr="008667B7">
        <w:rPr>
          <w:rFonts w:cstheme="minorHAnsi"/>
        </w:rPr>
        <w:t xml:space="preserve"> </w:t>
      </w:r>
      <w:r w:rsidR="00BE7CEE" w:rsidRPr="00BE7CEE">
        <w:rPr>
          <w:rFonts w:cstheme="minorHAnsi"/>
        </w:rPr>
        <w:t xml:space="preserve">plany na najbliższy okres opisuje wstępny plan pracy na rok 2025. Wszystkie trzy wymienione dokumenty  </w:t>
      </w:r>
      <w:r w:rsidR="00BE7CEE" w:rsidRPr="00BE7CEE">
        <w:rPr>
          <w:rFonts w:cstheme="minorHAnsi"/>
          <w:u w:val="single"/>
        </w:rPr>
        <w:t>są załącznikami do niniejszej informacji.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  <w:color w:val="FF0000"/>
        </w:rPr>
      </w:pP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  <w:b/>
        </w:rPr>
      </w:pPr>
      <w:r w:rsidRPr="008667B7">
        <w:rPr>
          <w:rFonts w:cstheme="minorHAnsi"/>
          <w:b/>
        </w:rPr>
        <w:t>Finansowanie</w:t>
      </w:r>
    </w:p>
    <w:p w:rsidR="00BE7CEE" w:rsidRDefault="00571156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 xml:space="preserve">GSW finansowana jest z dotacji organizatora, dodatkowo także z przychodów z własnej działalności </w:t>
      </w:r>
      <w:r w:rsidR="00C91220">
        <w:rPr>
          <w:rFonts w:cstheme="minorHAnsi"/>
        </w:rPr>
        <w:t xml:space="preserve">    </w:t>
      </w:r>
      <w:r w:rsidR="007128D6">
        <w:rPr>
          <w:rFonts w:cstheme="minorHAnsi"/>
        </w:rPr>
        <w:t xml:space="preserve">    </w:t>
      </w:r>
      <w:r w:rsidR="00C91220">
        <w:rPr>
          <w:rFonts w:cstheme="minorHAnsi"/>
        </w:rPr>
        <w:t xml:space="preserve"> </w:t>
      </w:r>
      <w:r w:rsidRPr="008667B7">
        <w:rPr>
          <w:rFonts w:cstheme="minorHAnsi"/>
        </w:rPr>
        <w:t>i pozyskanych środków zewnętrznych</w:t>
      </w:r>
      <w:r w:rsidR="00FB5A4D" w:rsidRPr="008667B7">
        <w:rPr>
          <w:rFonts w:cstheme="minorHAnsi"/>
        </w:rPr>
        <w:t>. Dotacja organizatora pokrywa około 85-9</w:t>
      </w:r>
      <w:r w:rsidR="00873DC8" w:rsidRPr="008667B7">
        <w:rPr>
          <w:rFonts w:cstheme="minorHAnsi"/>
        </w:rPr>
        <w:t>5</w:t>
      </w:r>
      <w:r w:rsidR="00FB5A4D" w:rsidRPr="008667B7">
        <w:rPr>
          <w:rFonts w:cstheme="minorHAnsi"/>
        </w:rPr>
        <w:t xml:space="preserve">% kosztów (dla przykładu w </w:t>
      </w:r>
      <w:r w:rsidR="00BE7CEE">
        <w:rPr>
          <w:rFonts w:cstheme="minorHAnsi"/>
        </w:rPr>
        <w:t xml:space="preserve">roku </w:t>
      </w:r>
      <w:r w:rsidR="00FB5A4D" w:rsidRPr="008667B7">
        <w:rPr>
          <w:rFonts w:cstheme="minorHAnsi"/>
        </w:rPr>
        <w:t>2023: 87%</w:t>
      </w:r>
      <w:r w:rsidR="00D24731" w:rsidRPr="008667B7">
        <w:rPr>
          <w:rFonts w:cstheme="minorHAnsi"/>
        </w:rPr>
        <w:t>, pozostałe koszty pokryto z przychodów własnych</w:t>
      </w:r>
      <w:r w:rsidR="00BE7CEE">
        <w:rPr>
          <w:rFonts w:cstheme="minorHAnsi"/>
        </w:rPr>
        <w:t>)</w:t>
      </w:r>
      <w:r w:rsidR="00D24731" w:rsidRPr="008667B7">
        <w:rPr>
          <w:rFonts w:cstheme="minorHAnsi"/>
        </w:rPr>
        <w:t xml:space="preserve">. </w:t>
      </w:r>
      <w:r w:rsidR="00241F39" w:rsidRPr="008667B7">
        <w:rPr>
          <w:rFonts w:cstheme="minorHAnsi"/>
        </w:rPr>
        <w:t xml:space="preserve">  </w:t>
      </w:r>
    </w:p>
    <w:p w:rsidR="00BE7CEE" w:rsidRDefault="00BE7CEE" w:rsidP="00AA0517">
      <w:pPr>
        <w:spacing w:after="0" w:line="240" w:lineRule="auto"/>
        <w:jc w:val="both"/>
        <w:rPr>
          <w:rFonts w:cstheme="minorHAnsi"/>
        </w:rPr>
      </w:pPr>
    </w:p>
    <w:p w:rsidR="00BE7CEE" w:rsidRPr="00BE7CEE" w:rsidRDefault="00BE7CEE" w:rsidP="00BE7CEE">
      <w:pPr>
        <w:spacing w:after="0" w:line="240" w:lineRule="auto"/>
        <w:jc w:val="both"/>
        <w:rPr>
          <w:rFonts w:cstheme="minorHAnsi"/>
        </w:rPr>
      </w:pPr>
      <w:r w:rsidRPr="00BE7CEE">
        <w:rPr>
          <w:rFonts w:cstheme="minorHAnsi"/>
        </w:rPr>
        <w:t xml:space="preserve">Największy koszt stanowią wynagrodzenia wraz z pochodnymi (dla przykładu w 2023: 56% całego budżetu, w I półroczu 2024 – 59% ). Bardzo znaczącą pozycją kosztową jest też usługa ochrony mienia. GSW, jako instytucja wpisana do wojewódzkiej ewidencji </w:t>
      </w:r>
      <w:r w:rsidRPr="00BE7CEE">
        <w:rPr>
          <w:rFonts w:cstheme="minorHAnsi"/>
          <w:shd w:val="clear" w:color="auto" w:fill="FFFFFF"/>
        </w:rPr>
        <w:t>obszarów, obiektów i urządzeń podlegających obowiązkowej ochronie</w:t>
      </w:r>
      <w:r w:rsidRPr="00BE7CEE">
        <w:rPr>
          <w:rFonts w:cstheme="minorHAnsi"/>
        </w:rPr>
        <w:t xml:space="preserve">, musi zapewnić ochronę wg planu ochrony, co wiąże się </w:t>
      </w:r>
      <w:r>
        <w:rPr>
          <w:rFonts w:cstheme="minorHAnsi"/>
        </w:rPr>
        <w:t xml:space="preserve">          </w:t>
      </w:r>
      <w:r w:rsidR="007128D6">
        <w:rPr>
          <w:rFonts w:cstheme="minorHAnsi"/>
        </w:rPr>
        <w:t xml:space="preserve">       </w:t>
      </w:r>
      <w:r>
        <w:rPr>
          <w:rFonts w:cstheme="minorHAnsi"/>
        </w:rPr>
        <w:t xml:space="preserve"> </w:t>
      </w:r>
      <w:r w:rsidRPr="00BE7CEE">
        <w:rPr>
          <w:rFonts w:cstheme="minorHAnsi"/>
        </w:rPr>
        <w:t>z wysokimi kosztami tej usługi (w 2023 r. – 13 % całego budżetu, w I półroczu 2024 – prawie 15%).</w:t>
      </w:r>
    </w:p>
    <w:p w:rsidR="00BE7CEE" w:rsidRPr="00BE7CEE" w:rsidRDefault="00BE7CEE" w:rsidP="00BE7CEE">
      <w:pPr>
        <w:spacing w:after="0" w:line="240" w:lineRule="auto"/>
        <w:jc w:val="both"/>
        <w:rPr>
          <w:rFonts w:cstheme="minorHAnsi"/>
        </w:rPr>
      </w:pPr>
    </w:p>
    <w:p w:rsidR="00BE7CEE" w:rsidRPr="00BE7CEE" w:rsidRDefault="00BE7CEE" w:rsidP="00BE7CEE">
      <w:pPr>
        <w:spacing w:after="0" w:line="240" w:lineRule="auto"/>
        <w:jc w:val="both"/>
        <w:rPr>
          <w:rFonts w:cstheme="minorHAnsi"/>
        </w:rPr>
      </w:pPr>
      <w:r w:rsidRPr="00BE7CEE">
        <w:rPr>
          <w:rFonts w:cstheme="minorHAnsi"/>
        </w:rPr>
        <w:t>Stałe koszty utrzymania (energia, woda, podatki, opłaty itp.) wyniosły w 2023 r.  ok. 8 %.</w:t>
      </w:r>
    </w:p>
    <w:p w:rsidR="00BE7CEE" w:rsidRPr="00BE7CEE" w:rsidRDefault="00BE7CEE" w:rsidP="00BE7CEE">
      <w:pPr>
        <w:spacing w:after="0" w:line="240" w:lineRule="auto"/>
        <w:jc w:val="both"/>
        <w:rPr>
          <w:rFonts w:cstheme="minorHAnsi"/>
        </w:rPr>
      </w:pPr>
      <w:r w:rsidRPr="00BE7CEE">
        <w:rPr>
          <w:rFonts w:cstheme="minorHAnsi"/>
        </w:rPr>
        <w:t>Usługi zewnętrzne (sp</w:t>
      </w:r>
      <w:r w:rsidR="007128D6">
        <w:rPr>
          <w:rFonts w:cstheme="minorHAnsi"/>
        </w:rPr>
        <w:t xml:space="preserve">rzątanie, usługi informatyczne, </w:t>
      </w:r>
      <w:r w:rsidRPr="00BE7CEE">
        <w:rPr>
          <w:rFonts w:cstheme="minorHAnsi"/>
        </w:rPr>
        <w:t>telekomunikacyjne, usługi dot. administrowaniem danymi osobowymi itd.)</w:t>
      </w:r>
      <w:r w:rsidR="007128D6">
        <w:rPr>
          <w:rFonts w:cstheme="minorHAnsi"/>
        </w:rPr>
        <w:t>,</w:t>
      </w:r>
      <w:r w:rsidRPr="00BE7CEE">
        <w:rPr>
          <w:rFonts w:cstheme="minorHAnsi"/>
        </w:rPr>
        <w:t xml:space="preserve"> wyniosły w 2023 r.  także ok. 8 % .</w:t>
      </w:r>
    </w:p>
    <w:p w:rsidR="00BE7CEE" w:rsidRPr="00BE7CEE" w:rsidRDefault="00BE7CEE" w:rsidP="00BE7CEE">
      <w:pPr>
        <w:spacing w:after="0" w:line="240" w:lineRule="auto"/>
        <w:jc w:val="both"/>
        <w:rPr>
          <w:rFonts w:cstheme="minorHAnsi"/>
        </w:rPr>
      </w:pPr>
      <w:r w:rsidRPr="00BE7CEE">
        <w:rPr>
          <w:rFonts w:cstheme="minorHAnsi"/>
        </w:rPr>
        <w:t xml:space="preserve">Pozostałe drobne koszty (materiały biurowe, BHP, wyposażenie itp.) to w 2023 r. ok. 2 % kosztów, </w:t>
      </w:r>
      <w:r>
        <w:rPr>
          <w:rFonts w:cstheme="minorHAnsi"/>
        </w:rPr>
        <w:t xml:space="preserve">      </w:t>
      </w:r>
      <w:r w:rsidR="007128D6">
        <w:rPr>
          <w:rFonts w:cstheme="minorHAnsi"/>
        </w:rPr>
        <w:t xml:space="preserve">      </w:t>
      </w:r>
      <w:r w:rsidRPr="00BE7CEE">
        <w:rPr>
          <w:rFonts w:cstheme="minorHAnsi"/>
        </w:rPr>
        <w:t>a ZFSS i świadczenia na rzecz pracowników – ok. 1%</w:t>
      </w:r>
      <w:r w:rsidR="00213BC2">
        <w:rPr>
          <w:rFonts w:cstheme="minorHAnsi"/>
        </w:rPr>
        <w:t>.</w:t>
      </w:r>
    </w:p>
    <w:p w:rsidR="00BE7CEE" w:rsidRPr="00BE7CEE" w:rsidRDefault="00BE7CEE" w:rsidP="00BE7CEE">
      <w:pPr>
        <w:spacing w:after="0" w:line="240" w:lineRule="auto"/>
        <w:jc w:val="both"/>
        <w:rPr>
          <w:rFonts w:cstheme="minorHAnsi"/>
        </w:rPr>
      </w:pPr>
      <w:r w:rsidRPr="00BE7CEE">
        <w:rPr>
          <w:rFonts w:cstheme="minorHAnsi"/>
        </w:rPr>
        <w:t>Wynik finansowy 2003 r. wyniósł 104, 26 zł, praktycznie więc przychody zrównoważyły koszty.</w:t>
      </w:r>
    </w:p>
    <w:p w:rsidR="00213BC2" w:rsidRDefault="00213BC2" w:rsidP="00BE7CEE">
      <w:pPr>
        <w:jc w:val="both"/>
        <w:rPr>
          <w:rFonts w:eastAsia="Times New Roman" w:cstheme="minorHAnsi"/>
          <w:bCs/>
          <w:lang w:eastAsia="pl-PL"/>
        </w:rPr>
      </w:pPr>
    </w:p>
    <w:p w:rsidR="00BE7CEE" w:rsidRPr="00BE7CEE" w:rsidRDefault="00BE7CEE" w:rsidP="00BE7CEE">
      <w:pPr>
        <w:jc w:val="both"/>
        <w:rPr>
          <w:rFonts w:eastAsia="Times New Roman" w:cstheme="minorHAnsi"/>
          <w:bCs/>
          <w:lang w:eastAsia="pl-PL"/>
        </w:rPr>
      </w:pPr>
      <w:r w:rsidRPr="005E6701">
        <w:rPr>
          <w:rFonts w:eastAsia="Times New Roman" w:cstheme="minorHAnsi"/>
          <w:bCs/>
          <w:lang w:eastAsia="pl-PL"/>
        </w:rPr>
        <w:lastRenderedPageBreak/>
        <w:t>Wysokość dotacji podmiotowej organizatora na rok 2024 wynosi aktualnie 3 059</w:t>
      </w:r>
      <w:r w:rsidR="00B36891" w:rsidRPr="005E6701">
        <w:rPr>
          <w:rFonts w:eastAsia="Times New Roman" w:cstheme="minorHAnsi"/>
          <w:bCs/>
          <w:lang w:eastAsia="pl-PL"/>
        </w:rPr>
        <w:t> </w:t>
      </w:r>
      <w:r w:rsidRPr="005E6701">
        <w:rPr>
          <w:rFonts w:eastAsia="Times New Roman" w:cstheme="minorHAnsi"/>
          <w:bCs/>
          <w:lang w:eastAsia="pl-PL"/>
        </w:rPr>
        <w:t>000</w:t>
      </w:r>
      <w:r w:rsidR="00B36891" w:rsidRPr="005E6701">
        <w:rPr>
          <w:rFonts w:eastAsia="Times New Roman" w:cstheme="minorHAnsi"/>
          <w:bCs/>
          <w:lang w:eastAsia="pl-PL"/>
        </w:rPr>
        <w:t xml:space="preserve"> zł</w:t>
      </w:r>
      <w:r w:rsidRPr="005E6701">
        <w:rPr>
          <w:rFonts w:eastAsia="Times New Roman" w:cstheme="minorHAnsi"/>
          <w:bCs/>
          <w:lang w:eastAsia="pl-PL"/>
        </w:rPr>
        <w:t xml:space="preserve">, dodatkowo       </w:t>
      </w:r>
      <w:r w:rsidR="007128D6" w:rsidRPr="005E6701">
        <w:rPr>
          <w:rFonts w:eastAsia="Times New Roman" w:cstheme="minorHAnsi"/>
          <w:bCs/>
          <w:lang w:eastAsia="pl-PL"/>
        </w:rPr>
        <w:t xml:space="preserve">     </w:t>
      </w:r>
      <w:r w:rsidRPr="005E6701">
        <w:rPr>
          <w:rFonts w:eastAsia="Times New Roman" w:cstheme="minorHAnsi"/>
          <w:bCs/>
          <w:lang w:eastAsia="pl-PL"/>
        </w:rPr>
        <w:t>w br. GSW otrzymała dotacje celowe: 150</w:t>
      </w:r>
      <w:r w:rsidR="00B36891" w:rsidRPr="005E6701">
        <w:rPr>
          <w:rFonts w:eastAsia="Times New Roman" w:cstheme="minorHAnsi"/>
          <w:bCs/>
          <w:lang w:eastAsia="pl-PL"/>
        </w:rPr>
        <w:t> </w:t>
      </w:r>
      <w:r w:rsidRPr="005E6701">
        <w:rPr>
          <w:rFonts w:eastAsia="Times New Roman" w:cstheme="minorHAnsi"/>
          <w:bCs/>
          <w:lang w:eastAsia="pl-PL"/>
        </w:rPr>
        <w:t>000</w:t>
      </w:r>
      <w:r w:rsidR="00B36891" w:rsidRPr="005E6701">
        <w:rPr>
          <w:rFonts w:eastAsia="Times New Roman" w:cstheme="minorHAnsi"/>
          <w:bCs/>
          <w:lang w:eastAsia="pl-PL"/>
        </w:rPr>
        <w:t xml:space="preserve"> zł</w:t>
      </w:r>
      <w:r w:rsidRPr="005E6701">
        <w:rPr>
          <w:rFonts w:eastAsia="Times New Roman" w:cstheme="minorHAnsi"/>
          <w:bCs/>
          <w:lang w:eastAsia="pl-PL"/>
        </w:rPr>
        <w:t xml:space="preserve"> oraz 47</w:t>
      </w:r>
      <w:r w:rsidR="00B36891" w:rsidRPr="005E6701">
        <w:rPr>
          <w:rFonts w:eastAsia="Times New Roman" w:cstheme="minorHAnsi"/>
          <w:bCs/>
          <w:lang w:eastAsia="pl-PL"/>
        </w:rPr>
        <w:t> </w:t>
      </w:r>
      <w:r w:rsidRPr="005E6701">
        <w:rPr>
          <w:rFonts w:eastAsia="Times New Roman" w:cstheme="minorHAnsi"/>
          <w:bCs/>
          <w:lang w:eastAsia="pl-PL"/>
        </w:rPr>
        <w:t>950</w:t>
      </w:r>
      <w:r w:rsidR="00B36891" w:rsidRPr="005E6701">
        <w:rPr>
          <w:rFonts w:eastAsia="Times New Roman" w:cstheme="minorHAnsi"/>
          <w:bCs/>
          <w:lang w:eastAsia="pl-PL"/>
        </w:rPr>
        <w:t xml:space="preserve"> zł</w:t>
      </w:r>
      <w:r w:rsidRPr="005E6701">
        <w:rPr>
          <w:rFonts w:eastAsia="Times New Roman" w:cstheme="minorHAnsi"/>
          <w:bCs/>
          <w:lang w:eastAsia="pl-PL"/>
        </w:rPr>
        <w:t xml:space="preserve"> na wkłady własne i koszty niekwalifikowane (VAT) do dwóch projektów</w:t>
      </w:r>
      <w:r w:rsidR="00BC13FF" w:rsidRPr="005E6701">
        <w:rPr>
          <w:rFonts w:eastAsia="Times New Roman" w:cstheme="minorHAnsi"/>
          <w:bCs/>
          <w:lang w:eastAsia="pl-PL"/>
        </w:rPr>
        <w:t xml:space="preserve"> (</w:t>
      </w:r>
      <w:r w:rsidR="00BC13FF" w:rsidRPr="005E6701">
        <w:rPr>
          <w:rFonts w:eastAsia="Times New Roman" w:cstheme="minorHAnsi"/>
          <w:bCs/>
          <w:i/>
          <w:lang w:eastAsia="pl-PL"/>
        </w:rPr>
        <w:t>Wiesław Dymny. Pięć i pół bladego Józka</w:t>
      </w:r>
      <w:r w:rsidR="00BC13FF" w:rsidRPr="005E6701">
        <w:rPr>
          <w:rFonts w:eastAsia="Times New Roman" w:cstheme="minorHAnsi"/>
          <w:bCs/>
          <w:lang w:eastAsia="pl-PL"/>
        </w:rPr>
        <w:t xml:space="preserve"> oraz </w:t>
      </w:r>
      <w:r w:rsidR="00BC13FF" w:rsidRPr="005E6701">
        <w:rPr>
          <w:rFonts w:eastAsia="Times New Roman" w:cstheme="minorHAnsi"/>
          <w:bCs/>
          <w:i/>
          <w:lang w:eastAsia="pl-PL"/>
        </w:rPr>
        <w:t>T@niec</w:t>
      </w:r>
      <w:r w:rsidR="00BC13FF" w:rsidRPr="005E6701">
        <w:rPr>
          <w:rFonts w:eastAsia="Times New Roman" w:cstheme="minorHAnsi"/>
          <w:bCs/>
          <w:lang w:eastAsia="pl-PL"/>
        </w:rPr>
        <w:t>)</w:t>
      </w:r>
      <w:r w:rsidRPr="005E6701">
        <w:rPr>
          <w:rFonts w:eastAsia="Times New Roman" w:cstheme="minorHAnsi"/>
          <w:bCs/>
          <w:lang w:eastAsia="pl-PL"/>
        </w:rPr>
        <w:t>, do których otrzymano dofinansowanie z KPO.</w:t>
      </w:r>
    </w:p>
    <w:p w:rsidR="00BE7CEE" w:rsidRPr="00BE7CEE" w:rsidRDefault="00BE7CEE" w:rsidP="00BE7CEE">
      <w:pPr>
        <w:jc w:val="both"/>
        <w:rPr>
          <w:rFonts w:eastAsia="Times New Roman" w:cstheme="minorHAnsi"/>
          <w:bCs/>
          <w:lang w:eastAsia="pl-PL"/>
        </w:rPr>
      </w:pPr>
      <w:r w:rsidRPr="00BE7CEE">
        <w:rPr>
          <w:rFonts w:eastAsia="Times New Roman" w:cstheme="minorHAnsi"/>
          <w:bCs/>
          <w:lang w:eastAsia="pl-PL"/>
        </w:rPr>
        <w:t>Wykonania dotacji w latach poprzednich wyniosły odpowiednio:</w:t>
      </w:r>
    </w:p>
    <w:p w:rsidR="00BE7CEE" w:rsidRPr="00BE7CEE" w:rsidRDefault="00BE7CEE" w:rsidP="00BE7CEE">
      <w:pPr>
        <w:spacing w:after="0" w:line="240" w:lineRule="auto"/>
        <w:rPr>
          <w:rFonts w:cstheme="minorHAnsi"/>
        </w:rPr>
      </w:pPr>
      <w:r w:rsidRPr="00BE7CEE">
        <w:rPr>
          <w:rFonts w:cstheme="minorHAnsi"/>
        </w:rPr>
        <w:t>2019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  <w:t>2 642</w:t>
      </w:r>
      <w:r w:rsidR="00386B5D">
        <w:rPr>
          <w:rFonts w:cstheme="minorHAnsi"/>
        </w:rPr>
        <w:t> </w:t>
      </w:r>
      <w:r w:rsidRPr="00BE7CEE">
        <w:rPr>
          <w:rFonts w:cstheme="minorHAnsi"/>
        </w:rPr>
        <w:t>000</w:t>
      </w:r>
      <w:r w:rsidR="00386B5D">
        <w:rPr>
          <w:rFonts w:cstheme="minorHAnsi"/>
        </w:rPr>
        <w:t xml:space="preserve"> zł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</w:p>
    <w:p w:rsidR="00BE7CEE" w:rsidRPr="00BE7CEE" w:rsidRDefault="00BE7CEE" w:rsidP="00BE7CEE">
      <w:pPr>
        <w:spacing w:after="0" w:line="240" w:lineRule="auto"/>
        <w:rPr>
          <w:rFonts w:cstheme="minorHAnsi"/>
        </w:rPr>
      </w:pPr>
      <w:r w:rsidRPr="00BE7CEE">
        <w:rPr>
          <w:rFonts w:cstheme="minorHAnsi"/>
        </w:rPr>
        <w:t>2020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  <w:t xml:space="preserve">2 380 000 </w:t>
      </w:r>
      <w:r w:rsidR="00386B5D">
        <w:rPr>
          <w:rFonts w:cstheme="minorHAnsi"/>
        </w:rPr>
        <w:t>zł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</w:p>
    <w:p w:rsidR="00BE7CEE" w:rsidRPr="00BE7CEE" w:rsidRDefault="00BE7CEE" w:rsidP="00BE7CEE">
      <w:pPr>
        <w:spacing w:after="0" w:line="240" w:lineRule="auto"/>
        <w:rPr>
          <w:rFonts w:cstheme="minorHAnsi"/>
        </w:rPr>
      </w:pPr>
      <w:r w:rsidRPr="00BE7CEE">
        <w:rPr>
          <w:rFonts w:cstheme="minorHAnsi"/>
        </w:rPr>
        <w:t>2021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  <w:t>2 466</w:t>
      </w:r>
      <w:r w:rsidR="00386B5D">
        <w:rPr>
          <w:rFonts w:cstheme="minorHAnsi"/>
        </w:rPr>
        <w:t> </w:t>
      </w:r>
      <w:r w:rsidRPr="00BE7CEE">
        <w:rPr>
          <w:rFonts w:cstheme="minorHAnsi"/>
        </w:rPr>
        <w:t>000</w:t>
      </w:r>
      <w:r w:rsidR="00386B5D">
        <w:rPr>
          <w:rFonts w:cstheme="minorHAnsi"/>
        </w:rPr>
        <w:t xml:space="preserve"> zł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</w:p>
    <w:p w:rsidR="00BE7CEE" w:rsidRPr="00BE7CEE" w:rsidRDefault="00BE7CEE" w:rsidP="00BE7CEE">
      <w:pPr>
        <w:spacing w:after="0" w:line="240" w:lineRule="auto"/>
        <w:rPr>
          <w:rFonts w:cstheme="minorHAnsi"/>
        </w:rPr>
      </w:pPr>
      <w:r w:rsidRPr="00BE7CEE">
        <w:rPr>
          <w:rFonts w:cstheme="minorHAnsi"/>
        </w:rPr>
        <w:t>2022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  <w:t>2 633</w:t>
      </w:r>
      <w:r w:rsidR="00386B5D">
        <w:rPr>
          <w:rFonts w:cstheme="minorHAnsi"/>
        </w:rPr>
        <w:t> </w:t>
      </w:r>
      <w:r w:rsidRPr="00BE7CEE">
        <w:rPr>
          <w:rFonts w:cstheme="minorHAnsi"/>
        </w:rPr>
        <w:t>400</w:t>
      </w:r>
      <w:r w:rsidR="00386B5D">
        <w:rPr>
          <w:rFonts w:cstheme="minorHAnsi"/>
        </w:rPr>
        <w:t xml:space="preserve"> zł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</w:p>
    <w:p w:rsidR="00BE7CEE" w:rsidRPr="00BE7CEE" w:rsidRDefault="00BE7CEE" w:rsidP="00BE7CEE">
      <w:pPr>
        <w:spacing w:after="0" w:line="240" w:lineRule="auto"/>
        <w:rPr>
          <w:rFonts w:cstheme="minorHAnsi"/>
        </w:rPr>
      </w:pPr>
      <w:r w:rsidRPr="00BE7CEE">
        <w:rPr>
          <w:rFonts w:cstheme="minorHAnsi"/>
        </w:rPr>
        <w:t>2023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  <w:t>2 660</w:t>
      </w:r>
      <w:r w:rsidR="00386B5D">
        <w:rPr>
          <w:rFonts w:cstheme="minorHAnsi"/>
        </w:rPr>
        <w:t> </w:t>
      </w:r>
      <w:r w:rsidRPr="00BE7CEE">
        <w:rPr>
          <w:rFonts w:cstheme="minorHAnsi"/>
        </w:rPr>
        <w:t>400</w:t>
      </w:r>
      <w:r w:rsidR="00386B5D">
        <w:rPr>
          <w:rFonts w:cstheme="minorHAnsi"/>
        </w:rPr>
        <w:t xml:space="preserve"> zł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</w:p>
    <w:p w:rsidR="00BE7CEE" w:rsidRPr="00BE7CEE" w:rsidRDefault="00BE7CEE" w:rsidP="00BE7CEE">
      <w:pPr>
        <w:spacing w:after="0" w:line="240" w:lineRule="auto"/>
        <w:rPr>
          <w:rFonts w:cstheme="minorHAnsi"/>
        </w:rPr>
      </w:pPr>
      <w:r w:rsidRPr="00BE7CEE">
        <w:rPr>
          <w:rFonts w:cstheme="minorHAnsi"/>
        </w:rPr>
        <w:t>2024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  <w:t xml:space="preserve">3 059 000 </w:t>
      </w:r>
      <w:r w:rsidR="00386B5D">
        <w:rPr>
          <w:rFonts w:cstheme="minorHAnsi"/>
        </w:rPr>
        <w:t>zł</w:t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</w:p>
    <w:p w:rsidR="00BE7CEE" w:rsidRPr="00BE7CEE" w:rsidRDefault="00BE7CEE" w:rsidP="00BE7CEE">
      <w:pPr>
        <w:spacing w:after="0" w:line="240" w:lineRule="auto"/>
        <w:rPr>
          <w:rFonts w:cstheme="minorHAnsi"/>
        </w:rPr>
      </w:pPr>
      <w:r w:rsidRPr="00BE7CEE">
        <w:rPr>
          <w:rFonts w:cstheme="minorHAnsi"/>
        </w:rPr>
        <w:tab/>
      </w:r>
      <w:r w:rsidRPr="00BE7CEE">
        <w:rPr>
          <w:rFonts w:cstheme="minorHAnsi"/>
        </w:rPr>
        <w:tab/>
      </w:r>
      <w:r w:rsidRPr="00BE7CEE">
        <w:rPr>
          <w:rFonts w:cstheme="minorHAnsi"/>
        </w:rPr>
        <w:tab/>
        <w:t>(stan na 8.10.2024)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  <w:b/>
        </w:rPr>
      </w:pPr>
      <w:r w:rsidRPr="008667B7">
        <w:rPr>
          <w:rFonts w:cstheme="minorHAnsi"/>
          <w:b/>
        </w:rPr>
        <w:t>Plany</w:t>
      </w:r>
    </w:p>
    <w:p w:rsidR="00AA0517" w:rsidRPr="008667B7" w:rsidRDefault="00AA0517" w:rsidP="00AA0517">
      <w:pPr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>Ramowy plan do końca kadencji aktualnej dyrektorki (X 2026) wyznacza</w:t>
      </w:r>
      <w:r w:rsidR="00BA2160" w:rsidRPr="008667B7">
        <w:rPr>
          <w:rFonts w:cstheme="minorHAnsi"/>
        </w:rPr>
        <w:t xml:space="preserve"> główne cele strategiczne:</w:t>
      </w:r>
    </w:p>
    <w:p w:rsidR="00BA2160" w:rsidRPr="008667B7" w:rsidRDefault="00BA2160" w:rsidP="00BA21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667B7">
        <w:rPr>
          <w:rFonts w:cstheme="minorHAnsi"/>
          <w:bCs/>
        </w:rPr>
        <w:t xml:space="preserve">1. zachowanie dotychczasowej wysokiej jakości działań programowych, budowa spójnego programu </w:t>
      </w:r>
      <w:r w:rsidR="007128D6">
        <w:rPr>
          <w:rFonts w:cstheme="minorHAnsi"/>
          <w:bCs/>
        </w:rPr>
        <w:t xml:space="preserve">   </w:t>
      </w:r>
      <w:r w:rsidRPr="008667B7">
        <w:rPr>
          <w:rFonts w:cstheme="minorHAnsi"/>
          <w:bCs/>
        </w:rPr>
        <w:t>w kilkuletniej perspektywie</w:t>
      </w:r>
    </w:p>
    <w:p w:rsidR="00BA2160" w:rsidRPr="008667B7" w:rsidRDefault="00BA2160" w:rsidP="00BA21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667B7">
        <w:rPr>
          <w:rFonts w:cstheme="minorHAnsi"/>
          <w:bCs/>
        </w:rPr>
        <w:t>2. stałe rozszerzanie grupy odbiorców</w:t>
      </w:r>
    </w:p>
    <w:p w:rsidR="00BA2160" w:rsidRPr="008667B7" w:rsidRDefault="00BA2160" w:rsidP="00BA21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667B7">
        <w:rPr>
          <w:rFonts w:cstheme="minorHAnsi"/>
          <w:bCs/>
        </w:rPr>
        <w:t>3. podniesienie jakości infrastruktury, powodujące:</w:t>
      </w:r>
    </w:p>
    <w:p w:rsidR="00BA2160" w:rsidRPr="00213BC2" w:rsidRDefault="00BA2160" w:rsidP="00213B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</w:rPr>
      </w:pPr>
      <w:r w:rsidRPr="00213BC2">
        <w:rPr>
          <w:rFonts w:cstheme="minorHAnsi"/>
          <w:bCs/>
        </w:rPr>
        <w:t>zwiększenie komfortu zwiedzania (zwłaszcza dla osób ze szczególnymi potrzebami)</w:t>
      </w:r>
    </w:p>
    <w:p w:rsidR="00BA2160" w:rsidRPr="00213BC2" w:rsidRDefault="00BA2160" w:rsidP="00213B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</w:rPr>
      </w:pPr>
      <w:r w:rsidRPr="00213BC2">
        <w:rPr>
          <w:rFonts w:cstheme="minorHAnsi"/>
          <w:bCs/>
        </w:rPr>
        <w:t>poprawę warunków ekspozycji</w:t>
      </w:r>
    </w:p>
    <w:p w:rsidR="00BA2160" w:rsidRPr="00213BC2" w:rsidRDefault="00BA2160" w:rsidP="00213B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Cs/>
        </w:rPr>
      </w:pPr>
      <w:r w:rsidRPr="00213BC2">
        <w:rPr>
          <w:rFonts w:cstheme="minorHAnsi"/>
          <w:bCs/>
        </w:rPr>
        <w:t>poprawę warunków przechowywania kolekcji</w:t>
      </w:r>
    </w:p>
    <w:p w:rsidR="00AA0517" w:rsidRPr="008667B7" w:rsidRDefault="00BA2160" w:rsidP="00BA2160">
      <w:pPr>
        <w:jc w:val="both"/>
        <w:rPr>
          <w:rFonts w:cstheme="minorHAnsi"/>
          <w:bCs/>
        </w:rPr>
      </w:pPr>
      <w:r w:rsidRPr="008667B7">
        <w:rPr>
          <w:rFonts w:cstheme="minorHAnsi"/>
          <w:bCs/>
        </w:rPr>
        <w:t>4. minimalizacj</w:t>
      </w:r>
      <w:r w:rsidR="00BE7CEE">
        <w:rPr>
          <w:rFonts w:cstheme="minorHAnsi"/>
          <w:bCs/>
        </w:rPr>
        <w:t>ę</w:t>
      </w:r>
      <w:r w:rsidRPr="008667B7">
        <w:rPr>
          <w:rFonts w:cstheme="minorHAnsi"/>
          <w:bCs/>
        </w:rPr>
        <w:t xml:space="preserve"> ryzyka niestabilności finansowej</w:t>
      </w:r>
      <w:r w:rsidR="00627E53">
        <w:rPr>
          <w:rFonts w:cstheme="minorHAnsi"/>
          <w:bCs/>
        </w:rPr>
        <w:t>.</w:t>
      </w:r>
    </w:p>
    <w:p w:rsidR="00BA2160" w:rsidRPr="008667B7" w:rsidRDefault="00BA2160" w:rsidP="00BA21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67B7">
        <w:rPr>
          <w:rFonts w:cstheme="minorHAnsi"/>
        </w:rPr>
        <w:t xml:space="preserve">Zgodnie z ww. planem:  „podstawową formą działalności GSW są wystawy, wokół których każdorazowo budować należy komplementarny, unikatowy i zróżnicowany program towarzyszący, uwzględniający zapotrzebowania wszystkich grup docelowych potencjalnych odbiorców </w:t>
      </w:r>
      <w:r w:rsidR="007128D6">
        <w:rPr>
          <w:rFonts w:cstheme="minorHAnsi"/>
        </w:rPr>
        <w:t xml:space="preserve">wystawy. </w:t>
      </w:r>
      <w:r w:rsidRPr="008667B7">
        <w:rPr>
          <w:rFonts w:cstheme="minorHAnsi"/>
        </w:rPr>
        <w:t>Ze względu na charakter miasta (stosunkowo niewielki, peryferyjny ośrodek sztuki) i przekrój publiczności (głownie publiczność miejscowa, mały udział widzów przyjezdnych) każdego roku plan wystaw powinien być konstruowany na zasadzie balansowa</w:t>
      </w:r>
      <w:r w:rsidR="007128D6">
        <w:rPr>
          <w:rFonts w:cstheme="minorHAnsi"/>
        </w:rPr>
        <w:t xml:space="preserve">nia pomiędzy eksperymentalnymi </w:t>
      </w:r>
      <w:r w:rsidRPr="008667B7">
        <w:rPr>
          <w:rFonts w:cstheme="minorHAnsi"/>
        </w:rPr>
        <w:t>a bardziej tradycyjnymi propozycjami, nie tracąc przy tym poziomu artystycznego. Zwłaszcza wystawy prezentujące bardziej hermetyczne, awangardowe postawy obowiązkowo powinny być obudowane bogatym aparatem umożliwiającym tzw. „zwykłemu widzowi” komfortowy odbiór przekazu”.</w:t>
      </w:r>
      <w:r w:rsidR="008667B7" w:rsidRPr="008667B7">
        <w:rPr>
          <w:rFonts w:cstheme="minorHAnsi"/>
        </w:rPr>
        <w:t xml:space="preserve"> Ponadto w GSW  odbywa się szeroka działalność edukacyjna, realizowany jest program publiczny  działania społeczne. W miarę posiadanych środków GSW realizuje działalność wydawniczą.</w:t>
      </w:r>
    </w:p>
    <w:p w:rsidR="00BA2160" w:rsidRPr="008667B7" w:rsidRDefault="00BA2160" w:rsidP="00BA21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2251" w:rsidRPr="00782251" w:rsidRDefault="00BE7CEE" w:rsidP="00782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7CEE">
        <w:rPr>
          <w:rFonts w:cstheme="minorHAnsi"/>
        </w:rPr>
        <w:t xml:space="preserve">Istotnym elementem planów (realizującym cel 3) na najbliższy okres jest przeprowadzenie zadania pod nazwą „Przebudowa i rozbudowa GSW w Opolu”, którego głównym celem projektowym jest likwidacja barier architektonicznych oraz poprawa widoczności GSW. </w:t>
      </w:r>
      <w:r w:rsidR="00782251" w:rsidRPr="00782251">
        <w:rPr>
          <w:rFonts w:cstheme="minorHAnsi"/>
        </w:rPr>
        <w:t>Projekt zakłada m.in. montaż windy, powstanie toalet dla osób z niepełnosprawnościami, zorganizowanie funkcjonalnej szatni, a także zmianę wyglądu fasady galerii poprzez powrót do atrakcyjnego historycznego rozwiązania fasady (metalowy relief) i czytelnego oznaczenia budynku neonem z nazwą i logotypem GSW.</w:t>
      </w:r>
    </w:p>
    <w:p w:rsidR="00BE7CEE" w:rsidRPr="00BE7CEE" w:rsidRDefault="00BE7CEE" w:rsidP="00BE7C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7CEE">
        <w:rPr>
          <w:rFonts w:cstheme="minorHAnsi"/>
        </w:rPr>
        <w:t xml:space="preserve">Na przełomie 2023/24 opracowano dokumentację techniczną tego zadania (wykonawcą wyłonionym w przetargu jest pracownia architektoniczna CadPlan z Białegostoku, koszty pokryte zostały z dotacji celowej organizatora). Na koniec roku 2024 planowane są działania miasta Opola jako członka Aglomeracji Opolskiej, zmierzające do pozyskania środków w ramach RPO (działanie </w:t>
      </w:r>
      <w:r w:rsidRPr="00BE7CEE">
        <w:rPr>
          <w:rFonts w:cstheme="minorHAnsi"/>
          <w:i/>
        </w:rPr>
        <w:t>Dziedzictwo kulturowe i kultura</w:t>
      </w:r>
      <w:r w:rsidRPr="00BE7CEE">
        <w:rPr>
          <w:rFonts w:cstheme="minorHAnsi"/>
        </w:rPr>
        <w:t>) na realizację tego projektu.</w:t>
      </w:r>
    </w:p>
    <w:p w:rsidR="00BE7CEE" w:rsidRPr="00BE7CEE" w:rsidRDefault="00BE7CEE" w:rsidP="00BE7C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E7CEE" w:rsidRPr="00BE7CEE" w:rsidRDefault="00BE7CEE" w:rsidP="00BE7C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7CEE">
        <w:rPr>
          <w:rFonts w:cstheme="minorHAnsi"/>
        </w:rPr>
        <w:t xml:space="preserve">Szczegółowe plany na rok 2025 zakłada wspomniany wstępny plan pracy na rok 2025, opracowany </w:t>
      </w:r>
      <w:r>
        <w:rPr>
          <w:rFonts w:cstheme="minorHAnsi"/>
        </w:rPr>
        <w:t xml:space="preserve">    </w:t>
      </w:r>
      <w:r w:rsidR="007128D6">
        <w:rPr>
          <w:rFonts w:cstheme="minorHAnsi"/>
        </w:rPr>
        <w:t xml:space="preserve">       </w:t>
      </w:r>
      <w:r w:rsidRPr="00BE7CEE">
        <w:rPr>
          <w:rFonts w:cstheme="minorHAnsi"/>
        </w:rPr>
        <w:t>w dwóch wariantach (w zależności od przystąpienia do realizacji wyżej opisanego zadania) załączony do niniejszej informacji.</w:t>
      </w:r>
    </w:p>
    <w:p w:rsidR="00BA2160" w:rsidRPr="008667B7" w:rsidRDefault="00BA2160" w:rsidP="00BE7C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BA2160" w:rsidRPr="008667B7" w:rsidSect="00627E5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FC" w:rsidRDefault="00E874FC" w:rsidP="00873DC8">
      <w:pPr>
        <w:spacing w:after="0" w:line="240" w:lineRule="auto"/>
      </w:pPr>
      <w:r>
        <w:separator/>
      </w:r>
    </w:p>
  </w:endnote>
  <w:endnote w:type="continuationSeparator" w:id="0">
    <w:p w:rsidR="00E874FC" w:rsidRDefault="00E874FC" w:rsidP="0087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FC" w:rsidRDefault="00E874FC" w:rsidP="00873DC8">
      <w:pPr>
        <w:spacing w:after="0" w:line="240" w:lineRule="auto"/>
      </w:pPr>
      <w:r>
        <w:separator/>
      </w:r>
    </w:p>
  </w:footnote>
  <w:footnote w:type="continuationSeparator" w:id="0">
    <w:p w:rsidR="00E874FC" w:rsidRDefault="00E874FC" w:rsidP="00873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3FF"/>
    <w:multiLevelType w:val="hybridMultilevel"/>
    <w:tmpl w:val="15FE273A"/>
    <w:lvl w:ilvl="0" w:tplc="86AAB65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61049F"/>
    <w:multiLevelType w:val="hybridMultilevel"/>
    <w:tmpl w:val="F8A20FA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B4F1FB2"/>
    <w:multiLevelType w:val="hybridMultilevel"/>
    <w:tmpl w:val="47364B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1D"/>
    <w:rsid w:val="000C0BE6"/>
    <w:rsid w:val="001223FF"/>
    <w:rsid w:val="001861F6"/>
    <w:rsid w:val="00213BC2"/>
    <w:rsid w:val="00241F39"/>
    <w:rsid w:val="00386B5D"/>
    <w:rsid w:val="003D4CFD"/>
    <w:rsid w:val="00450108"/>
    <w:rsid w:val="00571156"/>
    <w:rsid w:val="005E6701"/>
    <w:rsid w:val="00627E53"/>
    <w:rsid w:val="007128D6"/>
    <w:rsid w:val="00782251"/>
    <w:rsid w:val="007E2523"/>
    <w:rsid w:val="00807A46"/>
    <w:rsid w:val="0082031D"/>
    <w:rsid w:val="008667B7"/>
    <w:rsid w:val="00873DC8"/>
    <w:rsid w:val="008C1886"/>
    <w:rsid w:val="008D48E8"/>
    <w:rsid w:val="00A431B8"/>
    <w:rsid w:val="00AA0517"/>
    <w:rsid w:val="00B36891"/>
    <w:rsid w:val="00BA2160"/>
    <w:rsid w:val="00BC13FF"/>
    <w:rsid w:val="00BC5875"/>
    <w:rsid w:val="00BE7CEE"/>
    <w:rsid w:val="00C91220"/>
    <w:rsid w:val="00CA14F4"/>
    <w:rsid w:val="00D24731"/>
    <w:rsid w:val="00E874FC"/>
    <w:rsid w:val="00ED1C10"/>
    <w:rsid w:val="00F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06988-D458-495D-AE29-C7AF5132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0517"/>
    <w:rPr>
      <w:b/>
      <w:bCs/>
    </w:rPr>
  </w:style>
  <w:style w:type="paragraph" w:styleId="Akapitzlist">
    <w:name w:val="List Paragraph"/>
    <w:basedOn w:val="Normalny"/>
    <w:uiPriority w:val="34"/>
    <w:qFormat/>
    <w:rsid w:val="00AA05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D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D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D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Beata Śliwińska</cp:lastModifiedBy>
  <cp:revision>2</cp:revision>
  <cp:lastPrinted>2024-10-11T07:31:00Z</cp:lastPrinted>
  <dcterms:created xsi:type="dcterms:W3CDTF">2024-10-18T07:58:00Z</dcterms:created>
  <dcterms:modified xsi:type="dcterms:W3CDTF">2024-10-18T07:58:00Z</dcterms:modified>
</cp:coreProperties>
</file>