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11" w:rsidRDefault="00C10011" w:rsidP="004C0A9A">
      <w:pPr>
        <w:pStyle w:val="NormalnyWeb"/>
        <w:spacing w:before="0" w:after="0" w:line="360" w:lineRule="auto"/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bookmarkStart w:id="0" w:name="_GoBack"/>
      <w:bookmarkEnd w:id="0"/>
    </w:p>
    <w:p w:rsidR="004C0A9A" w:rsidRDefault="004C0A9A" w:rsidP="004C0A9A">
      <w:pPr>
        <w:pStyle w:val="NormalnyWeb"/>
        <w:spacing w:before="0" w:after="0" w:line="360" w:lineRule="auto"/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r>
        <w:rPr>
          <w:rFonts w:ascii="Arial" w:hAnsi="Arial" w:cs="Arial"/>
          <w:b/>
          <w:bCs/>
          <w:color w:val="1F3864"/>
          <w:sz w:val="28"/>
          <w:szCs w:val="28"/>
        </w:rPr>
        <w:t xml:space="preserve">Środki budżetowe przekazane Klubowi OKS Odra Opole S.A. </w:t>
      </w:r>
    </w:p>
    <w:p w:rsidR="004C0A9A" w:rsidRDefault="004C0A9A" w:rsidP="004C0A9A">
      <w:pPr>
        <w:pStyle w:val="NormalnyWeb"/>
        <w:spacing w:before="0" w:after="0" w:line="360" w:lineRule="auto"/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r>
        <w:rPr>
          <w:rFonts w:ascii="Arial" w:hAnsi="Arial" w:cs="Arial"/>
          <w:b/>
          <w:bCs/>
          <w:color w:val="1F3864"/>
          <w:sz w:val="28"/>
          <w:szCs w:val="28"/>
        </w:rPr>
        <w:t xml:space="preserve">w latach 2022-2024 </w:t>
      </w:r>
    </w:p>
    <w:p w:rsidR="00C10011" w:rsidRDefault="004C0A9A" w:rsidP="004C0A9A">
      <w:pPr>
        <w:pStyle w:val="NormalnyWeb"/>
        <w:spacing w:before="0" w:after="0" w:line="360" w:lineRule="auto"/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r>
        <w:rPr>
          <w:rFonts w:ascii="Arial" w:hAnsi="Arial" w:cs="Arial"/>
          <w:b/>
          <w:bCs/>
          <w:color w:val="1F3864"/>
          <w:sz w:val="28"/>
          <w:szCs w:val="28"/>
        </w:rPr>
        <w:t xml:space="preserve">wraz z przedstawieniem planów finansowych </w:t>
      </w:r>
    </w:p>
    <w:p w:rsidR="00C10011" w:rsidRDefault="004C0A9A" w:rsidP="00C10011">
      <w:pPr>
        <w:pStyle w:val="NormalnyWeb"/>
        <w:spacing w:before="0" w:after="0" w:line="360" w:lineRule="auto"/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r>
        <w:rPr>
          <w:rFonts w:ascii="Arial" w:hAnsi="Arial" w:cs="Arial"/>
          <w:b/>
          <w:bCs/>
          <w:color w:val="1F3864"/>
          <w:sz w:val="28"/>
          <w:szCs w:val="28"/>
        </w:rPr>
        <w:t xml:space="preserve">i wyników w tych latach. </w:t>
      </w:r>
    </w:p>
    <w:p w:rsidR="004C0A9A" w:rsidRDefault="004C0A9A" w:rsidP="004C0A9A">
      <w:pPr>
        <w:pStyle w:val="NormalnyWeb"/>
        <w:spacing w:before="0" w:after="0" w:line="360" w:lineRule="auto"/>
        <w:jc w:val="center"/>
        <w:rPr>
          <w:rFonts w:ascii="Arial" w:eastAsia="Times New Roman" w:hAnsi="Arial" w:cs="Arial"/>
          <w:bCs/>
        </w:rPr>
      </w:pPr>
    </w:p>
    <w:p w:rsidR="004C0A9A" w:rsidRDefault="004C0A9A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>Klub OKS Odra Opole od stycznia 2020 roku funkcjonuje w formie Spółki Akcyjnej z 100% udziałem Miasta Opole. W chwili obecnej w  strukturze sportowej klubu rozróżnić należy dwa podstawowe piony tj. piłkę seniorską i młodzieżowo-dziecięcą. Łącznie w klubie trenuje na co dzień około 450 zawodników. Z</w:t>
      </w:r>
      <w:r w:rsidR="009659F2">
        <w:rPr>
          <w:rFonts w:ascii="Arial" w:eastAsia="Times New Roman" w:hAnsi="Arial" w:cs="Arial"/>
          <w:bCs/>
        </w:rPr>
        <w:t>e</w:t>
      </w:r>
      <w:r>
        <w:rPr>
          <w:rFonts w:ascii="Arial" w:eastAsia="Times New Roman" w:hAnsi="Arial" w:cs="Arial"/>
          <w:bCs/>
        </w:rPr>
        <w:t xml:space="preserve"> wskazanej liczby w drużynach młodzieżowych (kategorie wiekowe od u14 do u19 czyli drużyny: trampkarzy, juniorów młodszych i juniorów) jest 126 zawodników. Z kolei w akademii dziecięcej do lat 13 jest 262 zawodników w tym 22 dziewczynki. W zespołach seniorskich (pierwsza drużyna biorąca udział w rozgrywkach „Betclic I liga” oraz drużyna rezerw biorąca udział w rozgrywkach IV ligi wojewódzkiej) jest natomiast 64 zawodników. Zajęcia sportowe prowadzone są łącznie przez 33 trenerów. Wszyscy szkoleniowcy posiadają uprawnienia do prowadzenia drużyn na odpowiednim poziomie rozgrywkowym. Wymogiem klubu w kategorii drużyn dziecięco-młodzieżowych jest dodatkowo posiadanie upra</w:t>
      </w:r>
      <w:r w:rsidR="009659F2">
        <w:rPr>
          <w:rFonts w:ascii="Arial" w:eastAsia="Times New Roman" w:hAnsi="Arial" w:cs="Arial"/>
          <w:bCs/>
        </w:rPr>
        <w:t>wnień pedagogicznych. Ponadto z </w:t>
      </w:r>
      <w:r>
        <w:rPr>
          <w:rFonts w:ascii="Arial" w:eastAsia="Times New Roman" w:hAnsi="Arial" w:cs="Arial"/>
          <w:bCs/>
        </w:rPr>
        <w:t xml:space="preserve">zawodnikami pracuje lekarz klubowy, fizjoterapeuci, masażysta, trener przygotowania motorycznego. To pokazuje skalę kosztów jakie musi ponosić klub.  </w:t>
      </w: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</w:p>
    <w:p w:rsidR="004C0A9A" w:rsidRDefault="004C0A9A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Pierwsza drużyna seniorów, będąca „wizytówką Klubu” od roku 2017 uczestniczy w rozgrywkach drugiego szczebla centralnego - I ligi. W poprzednim sezonie zajęła 6. miejsce, dające prawo gry w barażach o awans do Ekstraklasy. Warto zaznaczyć, że w Betclic I lidze możemy mierzyć się w tym sezonie z zespołami będącymi w gronie bardzo mocno rozpoznawalnych piłkarskich marek w kraju (np. Wisła Kraków, Ruch Chorzów, ŁKS Łódź, Warta Poznań, Arka Gdynia czy Polonia Warszawa), a biorąc pod uwagę 2022 czy 2023 rok były to jeszcze inne rozpoznawalne marki, m.in. Widzew Łódź, Lechia Gdańsk, Korona Kielce, Zagłębie Sosnowiec, GKS Katowice czy Motor Lublin. Dlatego w kontekście niezbyt dobrych wyników jesienią 2024 roku, celem nadrzędnym na rundę wios</w:t>
      </w:r>
      <w:r w:rsidR="009659F2">
        <w:rPr>
          <w:rFonts w:ascii="Arial" w:eastAsia="Times New Roman" w:hAnsi="Arial" w:cs="Arial"/>
        </w:rPr>
        <w:t xml:space="preserve">enną jest utrzymanie zespołu </w:t>
      </w:r>
      <w:r w:rsidR="009659F2">
        <w:rPr>
          <w:rFonts w:ascii="Arial" w:eastAsia="Times New Roman" w:hAnsi="Arial" w:cs="Arial"/>
        </w:rPr>
        <w:lastRenderedPageBreak/>
        <w:t>na </w:t>
      </w:r>
      <w:r>
        <w:rPr>
          <w:rFonts w:ascii="Arial" w:eastAsia="Times New Roman" w:hAnsi="Arial" w:cs="Arial"/>
        </w:rPr>
        <w:t>poziomi</w:t>
      </w:r>
      <w:r w:rsidR="009659F2">
        <w:rPr>
          <w:rFonts w:ascii="Arial" w:eastAsia="Times New Roman" w:hAnsi="Arial" w:cs="Arial"/>
        </w:rPr>
        <w:t>e I ligi. Na tym poziomie bowiem stale występują „markowe” zespoły, a </w:t>
      </w:r>
      <w:r>
        <w:rPr>
          <w:rFonts w:ascii="Arial" w:eastAsia="Times New Roman" w:hAnsi="Arial" w:cs="Arial"/>
        </w:rPr>
        <w:t>rozgrywki cieszą się dużym zainteresowaniem mediów.</w:t>
      </w:r>
    </w:p>
    <w:p w:rsidR="00C10011" w:rsidRDefault="00C10011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4C0A9A" w:rsidRDefault="004C0A9A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Utrzymanie w I lidze jest niezwykle istotne nie tylko z powodów wizerunkowo-prestiżowych, ale również z powodów finansowych. Odra z samego faktu gry na tym poziomie rozgrywko</w:t>
      </w:r>
      <w:r w:rsidR="009659F2">
        <w:rPr>
          <w:rFonts w:ascii="Arial" w:eastAsia="Times New Roman" w:hAnsi="Arial" w:cs="Arial"/>
        </w:rPr>
        <w:t>wy</w:t>
      </w:r>
      <w:r>
        <w:rPr>
          <w:rFonts w:ascii="Arial" w:eastAsia="Times New Roman" w:hAnsi="Arial" w:cs="Arial"/>
        </w:rPr>
        <w:t xml:space="preserve">m otrzymuje środki w skali roku w wysokości ponad 1,8 mln zł. Są to pieniądze od sponsora tytularnego rozgrywek, za prawa do transmisji telewizyjnych, zakłady bukmacherskie oraz sponsoring oparty na zasadzie rozliczeń barterowych: piłki, woda dla zawodników, najem samochodów. Środki w niższej klasie rozgrywkowej - II lidze za grę w niej za zdecydowanie mniejsze i nie przekraczają 500 tys. zł za sezon.   </w:t>
      </w:r>
    </w:p>
    <w:p w:rsidR="00C10011" w:rsidRDefault="00C10011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4C0A9A" w:rsidRDefault="004C0A9A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Jednocześnie gra zespołu na drugim poziomie w kraju daje możliwość ubiegania się o dofinansowanie w ramach projektów dotyczących infrastruktury piłkarskiej. Miasto Opole w latach 2022-24 składało wnioski w trzech edycjach rozpisywanego przez Ministerstwo Sportu i Turystki programu rozwoju akademii piłkarskich. Jest to program przeznaczony dla akademii piłkarskich w naszym kraju, których zespoły seniorskie grają na poziomie ekstraklasy lub I ligi. Dla klubów II ligi ten program nie jest już dostępny. Miasto Opole uzyskało dofinansowanie na remont boiska ze sztuczną nawierzchnią w Centrum Spo</w:t>
      </w:r>
      <w:r w:rsidR="009659F2">
        <w:rPr>
          <w:rFonts w:ascii="Arial" w:eastAsia="Times New Roman" w:hAnsi="Arial" w:cs="Arial"/>
        </w:rPr>
        <w:t>rtu przy ul. Wandy Rutkiewicz i </w:t>
      </w:r>
      <w:r>
        <w:rPr>
          <w:rFonts w:ascii="Arial" w:eastAsia="Times New Roman" w:hAnsi="Arial" w:cs="Arial"/>
        </w:rPr>
        <w:t>„Orlika” przy ul. Bielskiej. Suma dofinansowania wynosiła 1 835 200 zł i było to około 70% całości kosztów inwestycji, która została przeprowadzona w 2024 roku. Podpisana z Ministerstwem Sportu i Turystyki jest też umowa na modernizację boiska przy PSP nr 5, gdzie powstanie pełnowymiarowe boisko ze sztuczną nawierzchnią. Suma dofinansowania wynosi 1 932 200 zł i stanowi prawie 60% kosztów inwestycji, a modernizacja zostanie przeprowadzona w 2025 roku. Co więcej, w ostatniej edycji programu wniosek Miasta Opola na budowę kolejnego pełnowymiarowego boiska ze sztuczną nawierzchnią został wstępnie zakwalifikowany i przyznana została kwota 2 983 827 zł. Kwota dofinansowania z tych trzech pro</w:t>
      </w:r>
      <w:r w:rsidR="00FA3DFB">
        <w:rPr>
          <w:rFonts w:ascii="Arial" w:eastAsia="Times New Roman" w:hAnsi="Arial" w:cs="Arial"/>
        </w:rPr>
        <w:t xml:space="preserve">jektów to nieco ponad </w:t>
      </w:r>
      <w:r w:rsidR="00FA3DFB">
        <w:rPr>
          <w:rFonts w:ascii="Arial" w:eastAsia="Times New Roman" w:hAnsi="Arial" w:cs="Arial"/>
        </w:rPr>
        <w:br/>
        <w:t xml:space="preserve">6,75 mln </w:t>
      </w:r>
      <w:r>
        <w:rPr>
          <w:rFonts w:ascii="Arial" w:eastAsia="Times New Roman" w:hAnsi="Arial" w:cs="Arial"/>
        </w:rPr>
        <w:t xml:space="preserve">zł. Nie byłoby tego dofinansowania, gdyby nie obecność Odry w I lidze. </w:t>
      </w:r>
    </w:p>
    <w:p w:rsidR="00C10011" w:rsidRDefault="00C10011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4C0A9A" w:rsidRDefault="004C0A9A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koszty funkcjonowania klubu w spor</w:t>
      </w:r>
      <w:r w:rsidR="009659F2">
        <w:rPr>
          <w:rFonts w:ascii="Arial" w:eastAsia="Times New Roman" w:hAnsi="Arial" w:cs="Arial"/>
        </w:rPr>
        <w:t>ej mierze wpływa rywalizacja na </w:t>
      </w:r>
      <w:r>
        <w:rPr>
          <w:rFonts w:ascii="Arial" w:eastAsia="Times New Roman" w:hAnsi="Arial" w:cs="Arial"/>
        </w:rPr>
        <w:t xml:space="preserve">poziomie dziecięco-młodzieżowym. Zwłaszcza koszty w kategoriach trampkarzy, juniorów młodszych i juniorów są duże. Najstarsza drużyna młodzieżowa – zespół </w:t>
      </w:r>
      <w:r>
        <w:rPr>
          <w:rFonts w:ascii="Arial" w:eastAsia="Times New Roman" w:hAnsi="Arial" w:cs="Arial"/>
        </w:rPr>
        <w:lastRenderedPageBreak/>
        <w:t>juniorów występuje, drugi sezon z rzędu w ścisłym</w:t>
      </w:r>
      <w:r w:rsidR="009659F2">
        <w:rPr>
          <w:rFonts w:ascii="Arial" w:eastAsia="Times New Roman" w:hAnsi="Arial" w:cs="Arial"/>
        </w:rPr>
        <w:t xml:space="preserve"> gronie 16 najlepszych drużyn w </w:t>
      </w:r>
      <w:r>
        <w:rPr>
          <w:rFonts w:ascii="Arial" w:eastAsia="Times New Roman" w:hAnsi="Arial" w:cs="Arial"/>
        </w:rPr>
        <w:t xml:space="preserve">Polsce. Gra w tej „juniorskiej ekstraklasie” to spory splendor, ale też koszty. Normą są bowiem dalekie wyjazdy do: Szczecina, Gdyni, Gdańska, Białegostoku, Warszawy czy Poznania. W tym sezonie Odra ma też zespół w najwyższej lidze w kraju wśród trampkarzy (do lat 15). Tu jednak rywalizacja jest podzielona na cztery grupy w kraju. Koszty są więc mniejsze niż w przypadku zespołu juniorów, ale konieczne są m.in. wyjazdy do Gorzowa Wielkopolskiego czy Zielonej Góry. W dwóch minionych sezonach w najwyższej lidze grała też ekipa juniorów młodszych (do lat 17). Występowała w grupie zachodniej, a to oznaczało wyjazdy m.in. do Szczecina, Gdyni, Gdańska, Poznania czy Bydgoszczy. Pozostałe drużyny młodzieżowe i druga drużyna seniorów uczestniczą natomiast w rozgrywkach o zasięgu wojewódzkim. </w:t>
      </w:r>
    </w:p>
    <w:p w:rsidR="00C10011" w:rsidRDefault="00C10011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4C0A9A" w:rsidRDefault="004C0A9A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Rozgrywanie w obecnym sezonie przez trzy drużyny meczów na szczeblu centralnym, utrzymanie wszystkich pozostałych grup i liczby trenujących wymaga zabezpieczenia odpowiedniej kadry szkolenio</w:t>
      </w:r>
      <w:r w:rsidR="009659F2">
        <w:rPr>
          <w:rFonts w:ascii="Arial" w:eastAsia="Times New Roman" w:hAnsi="Arial" w:cs="Arial"/>
        </w:rPr>
        <w:t>wej, zabezpieczenia obiektów na </w:t>
      </w:r>
      <w:r>
        <w:rPr>
          <w:rFonts w:ascii="Arial" w:eastAsia="Times New Roman" w:hAnsi="Arial" w:cs="Arial"/>
        </w:rPr>
        <w:t xml:space="preserve">treningi i mecze, zabezpieczenia transportu na mecze wyjazdowe. To duże koszty. </w:t>
      </w:r>
    </w:p>
    <w:p w:rsidR="00C10011" w:rsidRDefault="00C10011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4C0A9A" w:rsidRDefault="004C0A9A" w:rsidP="004C0A9A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Aby utrzymać odpowiedni poziom sportowy wszystkich drużyn rozgrywających mecze pod szyldem Odry wymagane jest zabezpieczenie odpowiednich środków finansowych. W sezonie 2023/2024 średni budżet klubu I-ligowego w Polsce wahał się w granicach 15-16 mln zł. Odra w tym rankingu znalazła się na 12 miejscu na 17 zespołów z budżetem 9,5 mln zł. Najwyższy budżet posiadała Wisła Kraków 44 mln zł. </w:t>
      </w: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Odra posiada stosunkowo niski poziom kapitału zakładowego, który na chwilę obecną wynosi 4,94 mln zł. W sezonie 2023/2024 kapitał zakładowy Odry został podwyższony o 2,</w:t>
      </w:r>
      <w:r w:rsidR="00E3300D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mln zł, a np. inne kluby w tym czasie podniosły kapitał: Wisła Płock (24,8 mln zł), Zagłębie Sosnowiec (16,2 mln zł), czy Chrobry Głogów (13,2 mln zł). </w:t>
      </w: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</w:p>
    <w:p w:rsidR="004C0A9A" w:rsidRDefault="004C0A9A" w:rsidP="00C10011">
      <w:pPr>
        <w:pStyle w:val="NormalnyWeb"/>
        <w:spacing w:before="0" w:after="0" w:line="360" w:lineRule="auto"/>
        <w:ind w:firstLine="708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W latach 2022-2024 Miasto Opole przekazało Spółce OKS Odra Opole w formie dotacji oraz dokapitalizowania łącznie środki w wysokości </w:t>
      </w:r>
      <w:r>
        <w:rPr>
          <w:rFonts w:ascii="Arial" w:eastAsia="Times New Roman" w:hAnsi="Arial" w:cs="Arial"/>
          <w:b/>
          <w:bCs/>
        </w:rPr>
        <w:t>9.250.000 zł</w:t>
      </w: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Szczegółowe zestawienie z podziałem na dotacje i dokapitalizowanie przedstawiono w poniższej tabeli.</w:t>
      </w:r>
    </w:p>
    <w:p w:rsidR="00C10011" w:rsidRDefault="00C10011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</w:p>
    <w:p w:rsidR="00C10011" w:rsidRDefault="00C10011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</w:p>
    <w:tbl>
      <w:tblPr>
        <w:tblW w:w="78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161"/>
        <w:gridCol w:w="1161"/>
        <w:gridCol w:w="1165"/>
      </w:tblGrid>
      <w:tr w:rsidR="004C0A9A" w:rsidTr="004C0A9A">
        <w:trPr>
          <w:trHeight w:val="591"/>
          <w:jc w:val="center"/>
        </w:trPr>
        <w:tc>
          <w:tcPr>
            <w:tcW w:w="7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lastRenderedPageBreak/>
              <w:t>ZESTAWIENIE ŚRODKÓW PRZEKAZANYCH PRZEZ MIASTO OPOLE DLA SPÓŁKI OKS ODRA OPOLE S.A.</w:t>
            </w:r>
          </w:p>
        </w:tc>
      </w:tr>
      <w:tr w:rsidR="004C0A9A" w:rsidTr="004C0A9A">
        <w:trPr>
          <w:trHeight w:val="240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wyszczególnienie/lata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</w:tr>
      <w:tr w:rsidR="004C0A9A" w:rsidTr="004C0A9A">
        <w:trPr>
          <w:trHeight w:val="402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Dotacja wieloletnia</w:t>
            </w:r>
            <w:r w:rsidR="00FA3DFB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900 000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900 000</w:t>
            </w:r>
          </w:p>
        </w:tc>
      </w:tr>
      <w:tr w:rsidR="004C0A9A" w:rsidTr="004C0A9A">
        <w:trPr>
          <w:trHeight w:val="535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Dotacje j</w:t>
            </w:r>
            <w:r w:rsidR="00FA3DFB"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 xml:space="preserve">ednoroczne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955 000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900 000</w:t>
            </w:r>
          </w:p>
        </w:tc>
      </w:tr>
      <w:tr w:rsidR="004C0A9A" w:rsidTr="004C0A9A">
        <w:trPr>
          <w:trHeight w:val="354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Dotacje na dzieci i młodzież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35 000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30 000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pl-PL" w:eastAsia="pl-PL"/>
              </w:rPr>
              <w:t>30 000</w:t>
            </w:r>
          </w:p>
        </w:tc>
      </w:tr>
      <w:tr w:rsidR="004C0A9A" w:rsidTr="004C0A9A">
        <w:trPr>
          <w:trHeight w:val="39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RAZEM DOTACJE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1 890 000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1 830 000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1 830 000</w:t>
            </w:r>
          </w:p>
        </w:tc>
      </w:tr>
      <w:tr w:rsidR="004C0A9A" w:rsidTr="004C0A9A">
        <w:trPr>
          <w:trHeight w:val="132"/>
          <w:jc w:val="center"/>
        </w:trPr>
        <w:tc>
          <w:tcPr>
            <w:tcW w:w="4395" w:type="dxa"/>
            <w:noWrap/>
            <w:vAlign w:val="center"/>
            <w:hideMark/>
          </w:tcPr>
          <w:p w:rsidR="004C0A9A" w:rsidRDefault="004C0A9A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4C0A9A" w:rsidRDefault="004C0A9A">
            <w:pPr>
              <w:autoSpaceDN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/>
              </w:rPr>
            </w:pPr>
          </w:p>
        </w:tc>
        <w:tc>
          <w:tcPr>
            <w:tcW w:w="1161" w:type="dxa"/>
            <w:noWrap/>
            <w:vAlign w:val="center"/>
            <w:hideMark/>
          </w:tcPr>
          <w:p w:rsidR="004C0A9A" w:rsidRDefault="004C0A9A">
            <w:pPr>
              <w:autoSpaceDN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4C0A9A" w:rsidRDefault="004C0A9A">
            <w:pPr>
              <w:autoSpaceDN/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pl-PL" w:eastAsia="pl-PL"/>
              </w:rPr>
            </w:pPr>
          </w:p>
        </w:tc>
      </w:tr>
      <w:tr w:rsidR="004C0A9A" w:rsidTr="004C0A9A">
        <w:trPr>
          <w:trHeight w:val="37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DOKAPITALIZOWANIE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1 200 000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2 500 000</w:t>
            </w:r>
          </w:p>
        </w:tc>
      </w:tr>
      <w:tr w:rsidR="004C0A9A" w:rsidTr="004C0A9A">
        <w:trPr>
          <w:trHeight w:val="458"/>
          <w:jc w:val="center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RAZEM ŚRODKI PRZEKAZANE PRZEZ MIASTO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1 890 000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3 030 000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4 330 000</w:t>
            </w:r>
          </w:p>
        </w:tc>
      </w:tr>
    </w:tbl>
    <w:p w:rsidR="00C10011" w:rsidRDefault="00C10011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Środki przekazane do Klubu zostały wykorzystane na potrzeby wynikające z bieżącej działalności klubu takie jak: wynagrodzenia sztabu szkoleniowego, sztabu medycznego i zawodników (w poszczególnych latach te wydatki na wynagrodzenia stanowiły 60-64 % ogółu wszystkich kosztów), </w:t>
      </w:r>
      <w:r w:rsidR="009659F2">
        <w:rPr>
          <w:rFonts w:ascii="Arial" w:eastAsia="Times New Roman" w:hAnsi="Arial" w:cs="Arial"/>
        </w:rPr>
        <w:t>dojazdy, hotele i wyżywienie na </w:t>
      </w:r>
      <w:r>
        <w:rPr>
          <w:rFonts w:ascii="Arial" w:eastAsia="Times New Roman" w:hAnsi="Arial" w:cs="Arial"/>
        </w:rPr>
        <w:t>meczach wyjazdowych, organizację dnia m</w:t>
      </w:r>
      <w:r w:rsidR="009659F2">
        <w:rPr>
          <w:rFonts w:ascii="Arial" w:eastAsia="Times New Roman" w:hAnsi="Arial" w:cs="Arial"/>
        </w:rPr>
        <w:t>eczowego (domowego), wyjazdy na </w:t>
      </w:r>
      <w:r>
        <w:rPr>
          <w:rFonts w:ascii="Arial" w:eastAsia="Times New Roman" w:hAnsi="Arial" w:cs="Arial"/>
        </w:rPr>
        <w:t xml:space="preserve">zgrupowania.  </w:t>
      </w: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</w:rPr>
      </w:pP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auto"/>
        </w:rPr>
        <w:t>Wyniki planowane i wykonane w poszczególnych latach przedstawiają się następująco:</w:t>
      </w:r>
    </w:p>
    <w:tbl>
      <w:tblPr>
        <w:tblW w:w="1020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147"/>
        <w:gridCol w:w="952"/>
        <w:gridCol w:w="1101"/>
        <w:gridCol w:w="286"/>
        <w:gridCol w:w="952"/>
        <w:gridCol w:w="1101"/>
        <w:gridCol w:w="161"/>
        <w:gridCol w:w="952"/>
        <w:gridCol w:w="1270"/>
      </w:tblGrid>
      <w:tr w:rsidR="004C0A9A" w:rsidTr="004C0A9A">
        <w:trPr>
          <w:trHeight w:val="434"/>
        </w:trPr>
        <w:tc>
          <w:tcPr>
            <w:tcW w:w="3284" w:type="dxa"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RACHUNEK WYNIKÓW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 </w:t>
            </w:r>
          </w:p>
        </w:tc>
      </w:tr>
      <w:tr w:rsidR="004C0A9A" w:rsidTr="004C0A9A">
        <w:trPr>
          <w:trHeight w:val="414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Wyszczególnienie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2 022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2 023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2 024</w:t>
            </w:r>
          </w:p>
        </w:tc>
      </w:tr>
      <w:tr w:rsidR="004C0A9A" w:rsidTr="004C0A9A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C0A9A" w:rsidRDefault="004C0A9A">
            <w:pPr>
              <w:autoSpaceDN/>
              <w:spacing w:after="0" w:line="256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Plan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Wykonanie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PLAN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Wykonanie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PLAN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C0A9A" w:rsidRDefault="004C0A9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FFFFFF"/>
                <w:sz w:val="18"/>
                <w:szCs w:val="18"/>
                <w:lang w:val="pl-PL" w:eastAsia="pl-PL"/>
              </w:rPr>
              <w:t>PROGNOZA WYKONANIA</w:t>
            </w:r>
          </w:p>
        </w:tc>
      </w:tr>
      <w:tr w:rsidR="004C0A9A" w:rsidTr="004C0A9A">
        <w:trPr>
          <w:trHeight w:val="675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A .PRZYCHODY NETTO ZE SPRZEDAŻY I ZRÓWNANE Z NIMI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5 659 200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6 570 617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6 399 482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5 804 244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8 845 434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6 976 733</w:t>
            </w:r>
          </w:p>
        </w:tc>
      </w:tr>
      <w:tr w:rsidR="004C0A9A" w:rsidTr="004C0A9A">
        <w:trPr>
          <w:trHeight w:val="327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  - ze sprzedaży reklam i sponsoringu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2 426 400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2 694 694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2 383 400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2 654 390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2 650 000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3 313 565</w:t>
            </w:r>
          </w:p>
        </w:tc>
      </w:tr>
      <w:tr w:rsidR="004C0A9A" w:rsidTr="004C0A9A">
        <w:trPr>
          <w:trHeight w:val="337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  - ze sprzedaży pozostałych usług i towarów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2 732 800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3 875 923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2 716 082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3 149 854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3 295 434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3 663 168</w:t>
            </w:r>
          </w:p>
        </w:tc>
      </w:tr>
      <w:tr w:rsidR="004C0A9A" w:rsidTr="004C0A9A">
        <w:trPr>
          <w:trHeight w:val="443"/>
        </w:trPr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  <w:t xml:space="preserve">    - dodatkowe przychody przyjęte w planie -  uzupełnienie finansowania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  <w:t>500 000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  <w:t>1 300 000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  <w:t>2 900 000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C65911"/>
                <w:sz w:val="18"/>
                <w:szCs w:val="18"/>
                <w:lang w:val="pl-PL" w:eastAsia="pl-PL"/>
              </w:rPr>
              <w:t>0</w:t>
            </w:r>
          </w:p>
        </w:tc>
      </w:tr>
      <w:tr w:rsidR="004C0A9A" w:rsidTr="004C0A9A">
        <w:trPr>
          <w:trHeight w:val="540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B. KOSZTY DZIAŁALNOŚCI OPERACYJNEJ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7 588 082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8 678 661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8 566 127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10 233 192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11 037 698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12 401 708</w:t>
            </w:r>
          </w:p>
        </w:tc>
      </w:tr>
      <w:tr w:rsidR="004C0A9A" w:rsidTr="004C0A9A">
        <w:trPr>
          <w:trHeight w:val="279"/>
        </w:trPr>
        <w:tc>
          <w:tcPr>
            <w:tcW w:w="3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I. Amortyzacja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3 929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9 476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19 432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42 141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21 727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36 975</w:t>
            </w:r>
          </w:p>
        </w:tc>
      </w:tr>
      <w:tr w:rsidR="004C0A9A" w:rsidTr="004C0A9A">
        <w:trPr>
          <w:trHeight w:val="274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II. Zużycie materiałów i energii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268 029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391 297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353 075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415 187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367 518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551 070</w:t>
            </w:r>
          </w:p>
        </w:tc>
      </w:tr>
      <w:tr w:rsidR="004C0A9A" w:rsidTr="004C0A9A">
        <w:trPr>
          <w:trHeight w:val="245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III. Usługi Obce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4 815 940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5 637 195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5 830 558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6 967 181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7 745 387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8 679 582</w:t>
            </w:r>
          </w:p>
        </w:tc>
      </w:tr>
      <w:tr w:rsidR="004C0A9A" w:rsidTr="004C0A9A">
        <w:trPr>
          <w:trHeight w:val="462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w tym kontraktu zawodników, sztabu szkoleniowego, sztabu medycznego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3 388 105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4 042 220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4 232 186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4 750 585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5 505 375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5 970 711</w:t>
            </w:r>
          </w:p>
        </w:tc>
      </w:tr>
      <w:tr w:rsidR="004C0A9A" w:rsidTr="004C0A9A">
        <w:trPr>
          <w:trHeight w:val="245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IV. Podatki i opłaty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7 425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4 800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8 557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4 800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6 015</w:t>
            </w:r>
          </w:p>
        </w:tc>
      </w:tr>
      <w:tr w:rsidR="004C0A9A" w:rsidTr="004C0A9A">
        <w:trPr>
          <w:trHeight w:val="245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V. Wynagrodzenia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2 180 369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2 240 519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1 981 680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2 298 122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2 402 871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2 502 191</w:t>
            </w:r>
          </w:p>
        </w:tc>
      </w:tr>
      <w:tr w:rsidR="004C0A9A" w:rsidTr="004C0A9A">
        <w:trPr>
          <w:trHeight w:val="549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w tym wynagrodzenia zawodników, sztabu szkoleniowego i medycznego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1 529 817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1 477 627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1 267 200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1 556 419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1 607 371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i/>
                <w:iCs/>
                <w:sz w:val="18"/>
                <w:szCs w:val="18"/>
                <w:lang w:val="pl-PL" w:eastAsia="pl-PL"/>
              </w:rPr>
              <w:t>1 490 687</w:t>
            </w:r>
          </w:p>
        </w:tc>
      </w:tr>
      <w:tr w:rsidR="004C0A9A" w:rsidTr="004C0A9A">
        <w:trPr>
          <w:trHeight w:val="245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lastRenderedPageBreak/>
              <w:t xml:space="preserve">  VI. Ubezpieczenia społeczne i inne świadczenia 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164 335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160 029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134 244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186 296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209 049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205 360</w:t>
            </w:r>
          </w:p>
        </w:tc>
      </w:tr>
      <w:tr w:rsidR="004C0A9A" w:rsidTr="004C0A9A">
        <w:trPr>
          <w:trHeight w:val="274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VII. Pozostałe koszty rodzajowe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155 480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232 720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242 338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315 709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286 346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420 515</w:t>
            </w:r>
          </w:p>
        </w:tc>
      </w:tr>
      <w:tr w:rsidR="004C0A9A" w:rsidTr="004C0A9A">
        <w:trPr>
          <w:trHeight w:val="245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C. ZYSK (STRATA) ZE SPRZEDAŻY (A-B)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-1 928 882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-2 108 044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-2 166 646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-4 428 948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-2 192 264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-5 424 975</w:t>
            </w:r>
          </w:p>
        </w:tc>
      </w:tr>
      <w:tr w:rsidR="004C0A9A" w:rsidTr="004C0A9A">
        <w:trPr>
          <w:trHeight w:val="245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D. POZOSTAŁE PRZYCHODY OPERACYJNE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1 950 000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2 319 401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2 190 000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2 386 372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2 295 000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3 075 186</w:t>
            </w:r>
          </w:p>
        </w:tc>
      </w:tr>
      <w:tr w:rsidR="004C0A9A" w:rsidTr="004C0A9A">
        <w:trPr>
          <w:trHeight w:val="245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I. Dotacje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1 950 000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2 250 557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2 190 000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2 239 362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2 295 000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3 060 051</w:t>
            </w:r>
          </w:p>
        </w:tc>
      </w:tr>
      <w:tr w:rsidR="004C0A9A" w:rsidTr="004C0A9A">
        <w:trPr>
          <w:trHeight w:val="245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III. Inne przychody operacyjne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68 844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147 009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15 135</w:t>
            </w:r>
          </w:p>
        </w:tc>
      </w:tr>
      <w:tr w:rsidR="004C0A9A" w:rsidTr="004C0A9A">
        <w:trPr>
          <w:trHeight w:val="279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E. POZOSTAŁE KOSZTY OPERACYJNE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131 321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26 568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46 211</w:t>
            </w:r>
          </w:p>
        </w:tc>
      </w:tr>
      <w:tr w:rsidR="004C0A9A" w:rsidTr="004C0A9A">
        <w:trPr>
          <w:trHeight w:val="390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 xml:space="preserve">  II. Inne koszty operacyjne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131 321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26 568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46 211</w:t>
            </w:r>
          </w:p>
        </w:tc>
      </w:tr>
      <w:tr w:rsidR="004C0A9A" w:rsidTr="004C0A9A">
        <w:trPr>
          <w:trHeight w:val="443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F.ZYSK (STRATA) Z DZIAŁALNOŚCI OPERACYJNEJ (C+D-E)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21 118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80 036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23 354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-2 069 144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102 736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color w:val="800000"/>
                <w:sz w:val="18"/>
                <w:szCs w:val="18"/>
                <w:lang w:val="pl-PL" w:eastAsia="pl-PL"/>
              </w:rPr>
              <w:t>-2 396 001</w:t>
            </w:r>
          </w:p>
        </w:tc>
      </w:tr>
      <w:tr w:rsidR="004C0A9A" w:rsidTr="004C0A9A">
        <w:trPr>
          <w:trHeight w:val="279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G.PRZYCHODY FINANSOWE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3 050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575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6 031</w:t>
            </w:r>
          </w:p>
        </w:tc>
      </w:tr>
      <w:tr w:rsidR="004C0A9A" w:rsidTr="004C0A9A">
        <w:trPr>
          <w:trHeight w:val="279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H. KOSZTY FINANSOWE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934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14 610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5 717</w:t>
            </w:r>
          </w:p>
        </w:tc>
      </w:tr>
      <w:tr w:rsidR="004C0A9A" w:rsidTr="004C0A9A">
        <w:trPr>
          <w:trHeight w:val="279"/>
        </w:trPr>
        <w:tc>
          <w:tcPr>
            <w:tcW w:w="32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I. ZYSK (STRATA BRUTTO) (I+J)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21 118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82 152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23 354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-2 083 179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102 736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color w:val="800000"/>
                <w:sz w:val="18"/>
                <w:szCs w:val="18"/>
                <w:lang w:val="pl-PL" w:eastAsia="pl-PL"/>
              </w:rPr>
              <w:t>-2 395 687</w:t>
            </w:r>
          </w:p>
        </w:tc>
      </w:tr>
      <w:tr w:rsidR="004C0A9A" w:rsidTr="004C0A9A">
        <w:trPr>
          <w:trHeight w:val="279"/>
        </w:trPr>
        <w:tc>
          <w:tcPr>
            <w:tcW w:w="3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J. Podatek dochodowy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-861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20 012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val="pl-PL" w:eastAsia="pl-PL"/>
              </w:rPr>
              <w:t>0</w:t>
            </w:r>
          </w:p>
        </w:tc>
      </w:tr>
      <w:tr w:rsidR="004C0A9A" w:rsidTr="004C0A9A">
        <w:trPr>
          <w:trHeight w:val="506"/>
        </w:trPr>
        <w:tc>
          <w:tcPr>
            <w:tcW w:w="32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C0A9A" w:rsidRDefault="004C0A9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it-IT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it-IT" w:eastAsia="pl-PL"/>
              </w:rPr>
              <w:t>L.Zysk (strata) netto (K-L-M)</w:t>
            </w:r>
          </w:p>
        </w:tc>
        <w:tc>
          <w:tcPr>
            <w:tcW w:w="147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it-IT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  <w:t>21 118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  <w:t>83 013</w:t>
            </w:r>
          </w:p>
        </w:tc>
        <w:tc>
          <w:tcPr>
            <w:tcW w:w="286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  <w:t>23 354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  <w:t>-2 103 191</w:t>
            </w:r>
          </w:p>
        </w:tc>
        <w:tc>
          <w:tcPr>
            <w:tcW w:w="161" w:type="dxa"/>
            <w:noWrap/>
            <w:vAlign w:val="bottom"/>
            <w:hideMark/>
          </w:tcPr>
          <w:p w:rsidR="004C0A9A" w:rsidRDefault="004C0A9A">
            <w:pP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  <w:t>102 736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4C0A9A" w:rsidRDefault="004C0A9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val="pl-PL" w:eastAsia="pl-PL"/>
              </w:rPr>
              <w:t>-2 395 687</w:t>
            </w:r>
          </w:p>
        </w:tc>
      </w:tr>
    </w:tbl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  <w:color w:val="FF0000"/>
        </w:rPr>
      </w:pP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Spółka co roku planowała w pozycji przychody pozyskanie środków na uzupełnienie finansowania (</w:t>
      </w:r>
      <w:r>
        <w:rPr>
          <w:rFonts w:ascii="Arial CE" w:eastAsia="Times New Roman" w:hAnsi="Arial CE" w:cs="Arial CE"/>
          <w:i/>
          <w:iCs/>
          <w:color w:val="auto"/>
          <w:sz w:val="22"/>
          <w:szCs w:val="22"/>
        </w:rPr>
        <w:t>dodatkowe przychody przyjęte w planie -  uzupełnienie finansowania</w:t>
      </w:r>
      <w:r>
        <w:rPr>
          <w:rFonts w:ascii="Arial" w:eastAsia="Times New Roman" w:hAnsi="Arial" w:cs="Arial"/>
          <w:color w:val="auto"/>
          <w:sz w:val="32"/>
          <w:szCs w:val="32"/>
        </w:rPr>
        <w:t xml:space="preserve">) </w:t>
      </w:r>
      <w:r>
        <w:rPr>
          <w:rFonts w:ascii="Arial" w:eastAsia="Times New Roman" w:hAnsi="Arial" w:cs="Arial"/>
          <w:color w:val="auto"/>
        </w:rPr>
        <w:t>w roku 2022 – 500 tys. zł, w roku 2023 – 1.300 tys. zł i w roku 2024 na poziomie 2.900 tys. zł. Na etapie zatwierdzania planu, Rada Nadzorcza podejmowała uchwałę zobowiązując Zarząd Spółki do poczynienia starań w celu pozyskania środków.</w:t>
      </w: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Środki te zostały przekazane przez Miasto Opole</w:t>
      </w:r>
      <w:r w:rsidR="00E3300D">
        <w:rPr>
          <w:rFonts w:ascii="Arial" w:eastAsia="Times New Roman" w:hAnsi="Arial" w:cs="Arial"/>
          <w:color w:val="auto"/>
        </w:rPr>
        <w:t>, ale</w:t>
      </w:r>
      <w:r>
        <w:rPr>
          <w:rFonts w:ascii="Arial" w:eastAsia="Times New Roman" w:hAnsi="Arial" w:cs="Arial"/>
          <w:color w:val="auto"/>
        </w:rPr>
        <w:t xml:space="preserve"> w kwotach mniejszych niż</w:t>
      </w:r>
      <w:r w:rsidR="00C10011">
        <w:rPr>
          <w:rFonts w:ascii="Arial" w:eastAsia="Times New Roman" w:hAnsi="Arial" w:cs="Arial"/>
          <w:color w:val="auto"/>
        </w:rPr>
        <w:t> </w:t>
      </w:r>
      <w:r>
        <w:rPr>
          <w:rFonts w:ascii="Arial" w:eastAsia="Times New Roman" w:hAnsi="Arial" w:cs="Arial"/>
          <w:color w:val="auto"/>
        </w:rPr>
        <w:t>zakładano w planie, gdyż Spółka w międzyczasie podejmowała działania związan</w:t>
      </w:r>
      <w:r w:rsidR="00E3300D">
        <w:rPr>
          <w:rFonts w:ascii="Arial" w:eastAsia="Times New Roman" w:hAnsi="Arial" w:cs="Arial"/>
          <w:color w:val="auto"/>
        </w:rPr>
        <w:t>e</w:t>
      </w:r>
      <w:r>
        <w:rPr>
          <w:rFonts w:ascii="Arial" w:eastAsia="Times New Roman" w:hAnsi="Arial" w:cs="Arial"/>
          <w:color w:val="auto"/>
        </w:rPr>
        <w:t xml:space="preserve"> z pozyskiwaniem nowych sponsorów jak również </w:t>
      </w:r>
      <w:r w:rsidR="00C10011">
        <w:rPr>
          <w:rFonts w:ascii="Arial" w:eastAsia="Times New Roman" w:hAnsi="Arial" w:cs="Arial"/>
          <w:color w:val="auto"/>
        </w:rPr>
        <w:t>innych środków np. pozyskanie z </w:t>
      </w:r>
      <w:r>
        <w:rPr>
          <w:rFonts w:ascii="Arial" w:eastAsia="Times New Roman" w:hAnsi="Arial" w:cs="Arial"/>
          <w:color w:val="auto"/>
        </w:rPr>
        <w:t xml:space="preserve">Ministerstwa Sportu w 2024 roku 1 mln zł na finansowanie akademii. </w:t>
      </w: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Środki z</w:t>
      </w:r>
      <w:r w:rsidR="00E3300D">
        <w:rPr>
          <w:rFonts w:ascii="Arial" w:eastAsia="Times New Roman" w:hAnsi="Arial" w:cs="Arial"/>
          <w:color w:val="auto"/>
        </w:rPr>
        <w:t xml:space="preserve"> Budżetu </w:t>
      </w:r>
      <w:r>
        <w:rPr>
          <w:rFonts w:ascii="Arial" w:eastAsia="Times New Roman" w:hAnsi="Arial" w:cs="Arial"/>
          <w:color w:val="auto"/>
        </w:rPr>
        <w:t>Miasta zostały przekazane w formie dokapitalizowania</w:t>
      </w:r>
      <w:r w:rsidR="00E3300D">
        <w:rPr>
          <w:rFonts w:ascii="Arial" w:eastAsia="Times New Roman" w:hAnsi="Arial" w:cs="Arial"/>
          <w:color w:val="auto"/>
        </w:rPr>
        <w:t xml:space="preserve">, </w:t>
      </w:r>
      <w:r>
        <w:rPr>
          <w:rFonts w:ascii="Arial" w:eastAsia="Times New Roman" w:hAnsi="Arial" w:cs="Arial"/>
          <w:color w:val="auto"/>
        </w:rPr>
        <w:t>a nie przychodów. Zmiana sposobu finansowania miała znaczący wpływ na fakt, że spółka poniosła stratę bilansową w poszczególnych la</w:t>
      </w:r>
      <w:r w:rsidR="00C10011">
        <w:rPr>
          <w:rFonts w:ascii="Arial" w:eastAsia="Times New Roman" w:hAnsi="Arial" w:cs="Arial"/>
          <w:color w:val="auto"/>
        </w:rPr>
        <w:t>tach, gdyż dokapitalizowanie do </w:t>
      </w:r>
      <w:r>
        <w:rPr>
          <w:rFonts w:ascii="Arial" w:eastAsia="Times New Roman" w:hAnsi="Arial" w:cs="Arial"/>
          <w:color w:val="auto"/>
        </w:rPr>
        <w:t xml:space="preserve">kapitału nie jest odzwierciedlone w żadnej pozycji rachunku wyników natomiast zwiększa wartość kapitałów własnych w bilansie Spółki. Dokapitalizowanie kapitałów w poszczególnych latach pozwoliło spółce zachować płynność finansową i na bieżąco regulować zobowiązania.  </w:t>
      </w:r>
    </w:p>
    <w:p w:rsidR="004C0A9A" w:rsidRDefault="004C0A9A" w:rsidP="004C0A9A">
      <w:pPr>
        <w:pStyle w:val="NormalnyWeb"/>
        <w:spacing w:before="0" w:after="0" w:line="360" w:lineRule="auto"/>
        <w:jc w:val="both"/>
        <w:rPr>
          <w:rFonts w:ascii="Arial" w:hAnsi="Arial" w:cs="Arial"/>
          <w:b/>
        </w:rPr>
      </w:pPr>
    </w:p>
    <w:p w:rsidR="00C10011" w:rsidRDefault="00E3300D" w:rsidP="00E3300D">
      <w:pPr>
        <w:pStyle w:val="NormalnyWeb"/>
        <w:spacing w:before="0" w:after="0" w:line="360" w:lineRule="auto"/>
        <w:ind w:firstLine="708"/>
        <w:jc w:val="both"/>
      </w:pPr>
      <w:r>
        <w:rPr>
          <w:rFonts w:ascii="Arial" w:hAnsi="Arial" w:cs="Arial"/>
        </w:rPr>
        <w:t xml:space="preserve">Obecnie mamy ważny czas </w:t>
      </w:r>
      <w:r w:rsidR="004C0A9A">
        <w:rPr>
          <w:rFonts w:ascii="Arial" w:hAnsi="Arial" w:cs="Arial"/>
        </w:rPr>
        <w:t>w historii klubu, kt</w:t>
      </w:r>
      <w:r w:rsidR="00C10011">
        <w:rPr>
          <w:rFonts w:ascii="Arial" w:hAnsi="Arial" w:cs="Arial"/>
        </w:rPr>
        <w:t>óry wynika z szansy, którą  dać </w:t>
      </w:r>
      <w:r w:rsidR="004C0A9A">
        <w:rPr>
          <w:rFonts w:ascii="Arial" w:hAnsi="Arial" w:cs="Arial"/>
        </w:rPr>
        <w:t>może nowy stadion w mieście spełniający sta</w:t>
      </w:r>
      <w:r w:rsidR="00C10011">
        <w:rPr>
          <w:rFonts w:ascii="Arial" w:hAnsi="Arial" w:cs="Arial"/>
        </w:rPr>
        <w:t>ndardy XXI wieku. Nowy obiekt w </w:t>
      </w:r>
      <w:r w:rsidR="004C0A9A">
        <w:rPr>
          <w:rFonts w:ascii="Arial" w:hAnsi="Arial" w:cs="Arial"/>
        </w:rPr>
        <w:t xml:space="preserve">połączeniu z odpowiednią dyspozycją pierwszego zespołu, rozwojem klubowej </w:t>
      </w:r>
      <w:r w:rsidR="004C0A9A">
        <w:rPr>
          <w:rFonts w:ascii="Arial" w:hAnsi="Arial" w:cs="Arial"/>
        </w:rPr>
        <w:lastRenderedPageBreak/>
        <w:t xml:space="preserve">Akademii oraz aktywną działalnością organizacyjną i marketingową może przyciągać do </w:t>
      </w:r>
      <w:r>
        <w:rPr>
          <w:rFonts w:ascii="Arial" w:hAnsi="Arial" w:cs="Arial"/>
        </w:rPr>
        <w:t>k</w:t>
      </w:r>
      <w:r w:rsidR="004C0A9A">
        <w:rPr>
          <w:rFonts w:ascii="Arial" w:hAnsi="Arial" w:cs="Arial"/>
        </w:rPr>
        <w:t xml:space="preserve">lubu nowych fanów i inwestorów, co w pozytywny sposób </w:t>
      </w:r>
      <w:r>
        <w:rPr>
          <w:rFonts w:ascii="Arial" w:hAnsi="Arial" w:cs="Arial"/>
        </w:rPr>
        <w:t xml:space="preserve">powinno </w:t>
      </w:r>
      <w:r w:rsidR="004C0A9A">
        <w:rPr>
          <w:rFonts w:ascii="Arial" w:hAnsi="Arial" w:cs="Arial"/>
        </w:rPr>
        <w:t>wpłyn</w:t>
      </w:r>
      <w:r>
        <w:rPr>
          <w:rFonts w:ascii="Arial" w:hAnsi="Arial" w:cs="Arial"/>
        </w:rPr>
        <w:t xml:space="preserve">ąć </w:t>
      </w:r>
      <w:r w:rsidR="00C10011">
        <w:rPr>
          <w:rFonts w:ascii="Arial" w:hAnsi="Arial" w:cs="Arial"/>
        </w:rPr>
        <w:t>na </w:t>
      </w:r>
      <w:r w:rsidR="004C0A9A">
        <w:rPr>
          <w:rFonts w:ascii="Arial" w:hAnsi="Arial" w:cs="Arial"/>
        </w:rPr>
        <w:t xml:space="preserve">markę </w:t>
      </w:r>
      <w:r>
        <w:rPr>
          <w:rFonts w:ascii="Arial" w:hAnsi="Arial" w:cs="Arial"/>
        </w:rPr>
        <w:t xml:space="preserve">Odry i </w:t>
      </w:r>
      <w:r w:rsidR="004C0A9A">
        <w:rPr>
          <w:rFonts w:ascii="Arial" w:hAnsi="Arial" w:cs="Arial"/>
        </w:rPr>
        <w:t>wzmocni je</w:t>
      </w:r>
      <w:r>
        <w:rPr>
          <w:rFonts w:ascii="Arial" w:hAnsi="Arial" w:cs="Arial"/>
        </w:rPr>
        <w:t xml:space="preserve">j </w:t>
      </w:r>
      <w:r w:rsidR="004C0A9A">
        <w:rPr>
          <w:rFonts w:ascii="Arial" w:hAnsi="Arial" w:cs="Arial"/>
        </w:rPr>
        <w:t>rolę na piłkarskiej mapie Polski</w:t>
      </w:r>
      <w:r>
        <w:rPr>
          <w:rFonts w:ascii="Arial" w:hAnsi="Arial" w:cs="Arial"/>
        </w:rPr>
        <w:t xml:space="preserve">. </w:t>
      </w:r>
    </w:p>
    <w:p w:rsidR="00C10011" w:rsidRPr="00C10011" w:rsidRDefault="00C10011" w:rsidP="00C10011">
      <w:pPr>
        <w:rPr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Default="00C10011" w:rsidP="00C10011">
      <w:pPr>
        <w:spacing w:line="240" w:lineRule="auto"/>
        <w:rPr>
          <w:i/>
          <w:lang w:val="pl-PL" w:eastAsia="pl-PL"/>
        </w:rPr>
      </w:pPr>
    </w:p>
    <w:p w:rsidR="00C10011" w:rsidRPr="00C10011" w:rsidRDefault="00C10011" w:rsidP="00C10011">
      <w:pPr>
        <w:spacing w:line="240" w:lineRule="auto"/>
        <w:rPr>
          <w:i/>
          <w:lang w:val="pl-PL" w:eastAsia="pl-PL"/>
        </w:rPr>
      </w:pPr>
    </w:p>
    <w:p w:rsidR="004C0A9A" w:rsidRPr="00C10011" w:rsidRDefault="00C10011" w:rsidP="00C10011">
      <w:pPr>
        <w:spacing w:line="240" w:lineRule="auto"/>
        <w:rPr>
          <w:i/>
          <w:lang w:val="pl-PL" w:eastAsia="pl-PL"/>
        </w:rPr>
      </w:pPr>
      <w:r w:rsidRPr="00C10011">
        <w:rPr>
          <w:i/>
          <w:lang w:val="pl-PL" w:eastAsia="pl-PL"/>
        </w:rPr>
        <w:t>Opracowanie:</w:t>
      </w:r>
    </w:p>
    <w:p w:rsidR="00C10011" w:rsidRPr="00C10011" w:rsidRDefault="00C10011" w:rsidP="00C10011">
      <w:pPr>
        <w:pStyle w:val="Akapitzlist"/>
        <w:numPr>
          <w:ilvl w:val="0"/>
          <w:numId w:val="1"/>
        </w:numPr>
        <w:spacing w:line="240" w:lineRule="auto"/>
        <w:rPr>
          <w:i/>
          <w:lang w:val="pl-PL" w:eastAsia="pl-PL"/>
        </w:rPr>
      </w:pPr>
      <w:r w:rsidRPr="00C10011">
        <w:rPr>
          <w:i/>
          <w:lang w:val="pl-PL" w:eastAsia="pl-PL"/>
        </w:rPr>
        <w:t>Wydział Sportu</w:t>
      </w:r>
    </w:p>
    <w:p w:rsidR="00C10011" w:rsidRPr="00C10011" w:rsidRDefault="00C10011" w:rsidP="00C10011">
      <w:pPr>
        <w:pStyle w:val="Akapitzlist"/>
        <w:numPr>
          <w:ilvl w:val="0"/>
          <w:numId w:val="1"/>
        </w:numPr>
        <w:spacing w:line="240" w:lineRule="auto"/>
        <w:rPr>
          <w:i/>
          <w:lang w:val="pl-PL" w:eastAsia="pl-PL"/>
        </w:rPr>
      </w:pPr>
      <w:r w:rsidRPr="00C10011">
        <w:rPr>
          <w:i/>
          <w:lang w:val="pl-PL" w:eastAsia="pl-PL"/>
        </w:rPr>
        <w:t xml:space="preserve">OKS Odra Opole S.A. </w:t>
      </w:r>
    </w:p>
    <w:sectPr w:rsidR="00C10011" w:rsidRPr="00C100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ED" w:rsidRDefault="009E47ED" w:rsidP="00C10011">
      <w:pPr>
        <w:spacing w:after="0" w:line="240" w:lineRule="auto"/>
      </w:pPr>
      <w:r>
        <w:separator/>
      </w:r>
    </w:p>
  </w:endnote>
  <w:endnote w:type="continuationSeparator" w:id="0">
    <w:p w:rsidR="009E47ED" w:rsidRDefault="009E47ED" w:rsidP="00C1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729726"/>
      <w:docPartObj>
        <w:docPartGallery w:val="Page Numbers (Bottom of Page)"/>
        <w:docPartUnique/>
      </w:docPartObj>
    </w:sdtPr>
    <w:sdtEndPr/>
    <w:sdtContent>
      <w:p w:rsidR="00C10011" w:rsidRDefault="00C100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C61" w:rsidRPr="002E0C61">
          <w:rPr>
            <w:noProof/>
            <w:lang w:val="pl-PL"/>
          </w:rPr>
          <w:t>3</w:t>
        </w:r>
        <w:r>
          <w:fldChar w:fldCharType="end"/>
        </w:r>
      </w:p>
    </w:sdtContent>
  </w:sdt>
  <w:p w:rsidR="00C10011" w:rsidRDefault="00C10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ED" w:rsidRDefault="009E47ED" w:rsidP="00C10011">
      <w:pPr>
        <w:spacing w:after="0" w:line="240" w:lineRule="auto"/>
      </w:pPr>
      <w:r>
        <w:separator/>
      </w:r>
    </w:p>
  </w:footnote>
  <w:footnote w:type="continuationSeparator" w:id="0">
    <w:p w:rsidR="009E47ED" w:rsidRDefault="009E47ED" w:rsidP="00C10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7EE"/>
    <w:multiLevelType w:val="hybridMultilevel"/>
    <w:tmpl w:val="8DCA16EC"/>
    <w:lvl w:ilvl="0" w:tplc="AFA493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B5"/>
    <w:rsid w:val="000122FF"/>
    <w:rsid w:val="0004178D"/>
    <w:rsid w:val="00063484"/>
    <w:rsid w:val="002E0C61"/>
    <w:rsid w:val="003E677F"/>
    <w:rsid w:val="004C0A9A"/>
    <w:rsid w:val="0058265F"/>
    <w:rsid w:val="00623BE3"/>
    <w:rsid w:val="008F3E52"/>
    <w:rsid w:val="009659F2"/>
    <w:rsid w:val="009E47ED"/>
    <w:rsid w:val="00A306B5"/>
    <w:rsid w:val="00A67552"/>
    <w:rsid w:val="00B53720"/>
    <w:rsid w:val="00B64373"/>
    <w:rsid w:val="00BE108E"/>
    <w:rsid w:val="00BE70E4"/>
    <w:rsid w:val="00C10011"/>
    <w:rsid w:val="00D00FFE"/>
    <w:rsid w:val="00E3300D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0867E-7F38-496F-BC64-2FD4B5CC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6B5"/>
    <w:pPr>
      <w:autoSpaceDN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A306B5"/>
    <w:pPr>
      <w:suppressAutoHyphens/>
      <w:spacing w:before="100" w:after="119" w:line="240" w:lineRule="auto"/>
    </w:pPr>
    <w:rPr>
      <w:rFonts w:ascii="Times New Roman" w:eastAsia="Arial Unicode MS" w:hAnsi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484"/>
    <w:rPr>
      <w:rFonts w:ascii="Segoe UI" w:eastAsia="Calibri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1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011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10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011"/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C1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8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Sagan</dc:creator>
  <cp:keywords/>
  <dc:description/>
  <cp:lastModifiedBy>Teresa Muc</cp:lastModifiedBy>
  <cp:revision>2</cp:revision>
  <cp:lastPrinted>2025-02-03T12:53:00Z</cp:lastPrinted>
  <dcterms:created xsi:type="dcterms:W3CDTF">2025-02-11T08:42:00Z</dcterms:created>
  <dcterms:modified xsi:type="dcterms:W3CDTF">2025-02-11T08:42:00Z</dcterms:modified>
</cp:coreProperties>
</file>